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F7381">
      <w:pPr>
        <w:spacing w:line="600" w:lineRule="exact"/>
        <w:ind w:firstLine="0" w:firstLineChars="0"/>
        <w:rPr>
          <w:rFonts w:hAnsi="仿宋_GB2312" w:cs="仿宋_GB2312"/>
          <w:sz w:val="52"/>
          <w:szCs w:val="52"/>
          <w:highlight w:val="none"/>
        </w:rPr>
      </w:pPr>
    </w:p>
    <w:p w14:paraId="543EEAF6">
      <w:pPr>
        <w:spacing w:line="600" w:lineRule="exact"/>
        <w:ind w:firstLine="0" w:firstLineChars="0"/>
        <w:rPr>
          <w:rFonts w:hAnsi="仿宋_GB2312" w:cs="仿宋_GB2312"/>
          <w:sz w:val="52"/>
          <w:szCs w:val="52"/>
          <w:highlight w:val="none"/>
        </w:rPr>
      </w:pPr>
    </w:p>
    <w:p w14:paraId="1FEA4FA0">
      <w:pPr>
        <w:pStyle w:val="3"/>
        <w:spacing w:before="0" w:after="0" w:line="600" w:lineRule="exact"/>
        <w:ind w:firstLine="0" w:firstLineChars="0"/>
        <w:jc w:val="center"/>
        <w:outlineLvl w:val="9"/>
        <w:rPr>
          <w:rFonts w:ascii="宋体" w:hAnsi="宋体" w:eastAsia="宋体" w:cs="宋体"/>
          <w:b/>
          <w:sz w:val="52"/>
          <w:szCs w:val="52"/>
          <w:highlight w:val="none"/>
        </w:rPr>
      </w:pPr>
      <w:bookmarkStart w:id="0" w:name="_Toc1291"/>
      <w:bookmarkStart w:id="1" w:name="_Toc6379"/>
      <w:bookmarkStart w:id="2" w:name="_Toc5766"/>
      <w:bookmarkStart w:id="3" w:name="_Toc5709"/>
      <w:bookmarkStart w:id="4" w:name="_Toc26008"/>
    </w:p>
    <w:p w14:paraId="47E748A8">
      <w:pPr>
        <w:pStyle w:val="3"/>
        <w:spacing w:before="0" w:after="0" w:line="600" w:lineRule="exact"/>
        <w:ind w:firstLine="0" w:firstLineChars="0"/>
        <w:jc w:val="center"/>
        <w:outlineLvl w:val="0"/>
        <w:rPr>
          <w:rFonts w:ascii="宋体" w:hAnsi="宋体" w:eastAsia="宋体" w:cs="宋体"/>
          <w:b/>
          <w:sz w:val="48"/>
          <w:szCs w:val="48"/>
          <w:highlight w:val="none"/>
        </w:rPr>
      </w:pPr>
      <w:bookmarkStart w:id="5" w:name="_Toc1577239035"/>
      <w:bookmarkStart w:id="6" w:name="_Toc1426109919"/>
      <w:bookmarkStart w:id="7" w:name="_Toc36137490"/>
      <w:bookmarkStart w:id="8" w:name="_Toc18451"/>
      <w:r>
        <w:rPr>
          <w:rFonts w:hint="eastAsia" w:ascii="宋体" w:hAnsi="宋体" w:eastAsia="宋体" w:cs="宋体"/>
          <w:b/>
          <w:sz w:val="48"/>
          <w:szCs w:val="48"/>
          <w:highlight w:val="none"/>
          <w:lang w:val="en-US" w:eastAsia="zh-CN"/>
        </w:rPr>
        <w:t>2024年北京市市长国际企业家顾问会议</w:t>
      </w:r>
      <w:bookmarkEnd w:id="0"/>
      <w:bookmarkEnd w:id="1"/>
      <w:bookmarkEnd w:id="5"/>
      <w:bookmarkEnd w:id="6"/>
      <w:bookmarkEnd w:id="7"/>
      <w:bookmarkEnd w:id="8"/>
    </w:p>
    <w:p w14:paraId="26A14360">
      <w:pPr>
        <w:pStyle w:val="3"/>
        <w:spacing w:before="0" w:after="0" w:line="600" w:lineRule="exact"/>
        <w:ind w:firstLine="0" w:firstLineChars="0"/>
        <w:jc w:val="center"/>
        <w:outlineLvl w:val="0"/>
        <w:rPr>
          <w:rFonts w:ascii="宋体" w:hAnsi="宋体" w:eastAsia="宋体" w:cs="宋体"/>
          <w:b/>
          <w:sz w:val="48"/>
          <w:szCs w:val="48"/>
          <w:highlight w:val="none"/>
        </w:rPr>
      </w:pPr>
      <w:bookmarkStart w:id="9" w:name="_Toc564424466"/>
      <w:bookmarkStart w:id="10" w:name="_Toc118322677"/>
      <w:bookmarkStart w:id="11" w:name="_Toc25129"/>
      <w:bookmarkStart w:id="12" w:name="_Toc36137491"/>
      <w:bookmarkStart w:id="13" w:name="_Toc30934"/>
      <w:bookmarkStart w:id="14" w:name="_Toc16524"/>
      <w:r>
        <w:rPr>
          <w:rFonts w:hint="eastAsia" w:ascii="宋体" w:hAnsi="宋体" w:eastAsia="宋体" w:cs="宋体"/>
          <w:b/>
          <w:sz w:val="48"/>
          <w:szCs w:val="48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sz w:val="48"/>
          <w:szCs w:val="48"/>
          <w:highlight w:val="none"/>
        </w:rPr>
        <w:t>绩效评价报告</w:t>
      </w:r>
      <w:bookmarkEnd w:id="2"/>
      <w:bookmarkEnd w:id="3"/>
      <w:bookmarkEnd w:id="4"/>
      <w:bookmarkEnd w:id="9"/>
      <w:bookmarkEnd w:id="10"/>
      <w:bookmarkEnd w:id="11"/>
      <w:bookmarkEnd w:id="12"/>
      <w:bookmarkEnd w:id="13"/>
      <w:bookmarkEnd w:id="14"/>
    </w:p>
    <w:p w14:paraId="3180A6CA">
      <w:pPr>
        <w:spacing w:line="600" w:lineRule="exact"/>
        <w:rPr>
          <w:rFonts w:ascii="黑体" w:hAnsi="黑体" w:eastAsia="黑体" w:cs="黑体"/>
          <w:highlight w:val="none"/>
        </w:rPr>
      </w:pPr>
    </w:p>
    <w:p w14:paraId="7DBEF6F1">
      <w:pPr>
        <w:spacing w:line="600" w:lineRule="exact"/>
        <w:ind w:firstLine="438" w:firstLineChars="137"/>
        <w:jc w:val="center"/>
        <w:rPr>
          <w:rFonts w:ascii="黑体" w:hAnsi="黑体" w:eastAsia="黑体" w:cs="黑体"/>
          <w:highlight w:val="none"/>
        </w:rPr>
      </w:pPr>
    </w:p>
    <w:p w14:paraId="55F8BFE9">
      <w:pPr>
        <w:spacing w:line="600" w:lineRule="exact"/>
        <w:jc w:val="center"/>
        <w:rPr>
          <w:rFonts w:ascii="黑体" w:hAnsi="黑体" w:eastAsia="黑体" w:cs="黑体"/>
          <w:highlight w:val="none"/>
        </w:rPr>
      </w:pPr>
    </w:p>
    <w:p w14:paraId="3AF5AD9C">
      <w:pPr>
        <w:spacing w:line="600" w:lineRule="exact"/>
        <w:jc w:val="center"/>
        <w:rPr>
          <w:rFonts w:ascii="黑体" w:hAnsi="黑体" w:eastAsia="黑体" w:cs="黑体"/>
          <w:highlight w:val="none"/>
        </w:rPr>
      </w:pPr>
    </w:p>
    <w:p w14:paraId="517F0453">
      <w:pPr>
        <w:spacing w:line="600" w:lineRule="exact"/>
        <w:jc w:val="center"/>
        <w:rPr>
          <w:rFonts w:ascii="黑体" w:hAnsi="黑体" w:eastAsia="黑体" w:cs="黑体"/>
          <w:highlight w:val="none"/>
        </w:rPr>
      </w:pPr>
    </w:p>
    <w:p w14:paraId="0DD00F16">
      <w:pPr>
        <w:spacing w:line="600" w:lineRule="exact"/>
        <w:ind w:firstLine="560"/>
        <w:jc w:val="center"/>
        <w:rPr>
          <w:rFonts w:ascii="黑体" w:hAnsi="黑体" w:eastAsia="黑体" w:cs="黑体"/>
          <w:sz w:val="28"/>
          <w:szCs w:val="28"/>
          <w:highlight w:val="none"/>
        </w:rPr>
      </w:pPr>
    </w:p>
    <w:p w14:paraId="4E6E1DFC">
      <w:pPr>
        <w:rPr>
          <w:rFonts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主管部门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中国国际贸易促进委员会北京市分会</w:t>
      </w:r>
      <w:r>
        <w:rPr>
          <w:rFonts w:ascii="宋体" w:hAnsi="宋体" w:eastAsia="宋体" w:cs="宋体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</w:t>
      </w:r>
    </w:p>
    <w:p w14:paraId="3D6DB27F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项目单位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中国国际贸易促进委员会北京市分会</w:t>
      </w:r>
      <w:r>
        <w:rPr>
          <w:rFonts w:ascii="宋体" w:hAnsi="宋体" w:eastAsia="宋体" w:cs="宋体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ascii="宋体" w:hAnsi="宋体" w:eastAsia="宋体" w:cs="宋体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</w:t>
      </w:r>
    </w:p>
    <w:p w14:paraId="0E71275E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项目名称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2024年北京市市长国际企业家顾问会议</w:t>
      </w:r>
      <w:r>
        <w:rPr>
          <w:rFonts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/>
          <w:highlight w:val="none"/>
          <w:u w:val="single"/>
        </w:rPr>
        <w:t xml:space="preserve">                      </w:t>
      </w:r>
    </w:p>
    <w:p w14:paraId="1CB58CEE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评价机构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中国国际贸易促进委员会北京市分会</w:t>
      </w:r>
      <w:r>
        <w:rPr>
          <w:rFonts w:ascii="宋体" w:hAnsi="宋体" w:eastAsia="宋体" w:cs="宋体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</w:t>
      </w:r>
    </w:p>
    <w:p w14:paraId="69312A3E">
      <w:pPr>
        <w:rPr>
          <w:rFonts w:ascii="宋体" w:hAnsi="宋体" w:eastAsia="宋体" w:cs="宋体"/>
          <w:highlight w:val="none"/>
        </w:rPr>
      </w:pPr>
    </w:p>
    <w:p w14:paraId="33EDD825">
      <w:pPr>
        <w:spacing w:line="600" w:lineRule="exact"/>
        <w:ind w:firstLine="0" w:firstLineChars="0"/>
        <w:rPr>
          <w:rFonts w:hAnsi="仿宋_GB2312" w:cs="仿宋_GB2312"/>
          <w:highlight w:val="none"/>
        </w:rPr>
      </w:pPr>
      <w:r>
        <w:rPr>
          <w:rFonts w:hint="eastAsia" w:hAnsi="仿宋_GB2312" w:cs="仿宋_GB2312"/>
          <w:highlight w:val="none"/>
        </w:rPr>
        <w:t xml:space="preserve">  </w:t>
      </w:r>
    </w:p>
    <w:p w14:paraId="5D9526DE">
      <w:pPr>
        <w:spacing w:line="600" w:lineRule="exact"/>
        <w:ind w:firstLine="0" w:firstLineChars="0"/>
        <w:rPr>
          <w:rFonts w:hAnsi="仿宋_GB2312" w:cs="仿宋_GB2312"/>
          <w:highlight w:val="none"/>
        </w:rPr>
      </w:pPr>
    </w:p>
    <w:p w14:paraId="7587C8E8">
      <w:pPr>
        <w:spacing w:line="600" w:lineRule="exact"/>
        <w:ind w:firstLine="0" w:firstLineChars="0"/>
        <w:rPr>
          <w:rFonts w:hAnsi="仿宋_GB2312" w:cs="仿宋_GB2312"/>
          <w:highlight w:val="none"/>
        </w:rPr>
      </w:pPr>
    </w:p>
    <w:p w14:paraId="49BD897B">
      <w:pPr>
        <w:spacing w:line="600" w:lineRule="exact"/>
        <w:ind w:firstLine="0" w:firstLineChars="0"/>
        <w:jc w:val="center"/>
        <w:outlineLvl w:val="0"/>
        <w:rPr>
          <w:rFonts w:hint="default" w:ascii="黑体" w:hAnsi="黑体" w:eastAsia="黑体" w:cs="黑体"/>
          <w:highlight w:val="none"/>
          <w:lang w:val="en-US" w:eastAsia="zh-CN"/>
        </w:rPr>
      </w:pPr>
      <w:bookmarkStart w:id="15" w:name="_Toc79375217"/>
      <w:r>
        <w:rPr>
          <w:rFonts w:hint="eastAsia" w:ascii="黑体" w:hAnsi="黑体" w:eastAsia="黑体" w:cs="黑体"/>
          <w:highlight w:val="none"/>
          <w:lang w:val="en-US" w:eastAsia="zh-CN"/>
        </w:rPr>
        <w:t>中国国际贸易促进委员会北京市分会</w:t>
      </w:r>
      <w:bookmarkEnd w:id="15"/>
    </w:p>
    <w:p w14:paraId="63EC86CA">
      <w:pPr>
        <w:spacing w:line="600" w:lineRule="exact"/>
        <w:ind w:firstLine="0" w:firstLineChars="0"/>
        <w:jc w:val="center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二〇</w:t>
      </w:r>
      <w:r>
        <w:rPr>
          <w:rFonts w:hint="eastAsia" w:ascii="黑体" w:hAnsi="黑体" w:eastAsia="黑体" w:cs="黑体"/>
          <w:highlight w:val="none"/>
          <w:lang w:val="en-US" w:eastAsia="zh-CN"/>
        </w:rPr>
        <w:t>二五</w:t>
      </w:r>
      <w:r>
        <w:rPr>
          <w:rFonts w:hint="eastAsia" w:ascii="黑体" w:hAnsi="黑体" w:eastAsia="黑体" w:cs="黑体"/>
          <w:highlight w:val="none"/>
        </w:rPr>
        <w:t>年</w:t>
      </w:r>
      <w:r>
        <w:rPr>
          <w:rFonts w:hint="eastAsia" w:ascii="黑体" w:hAnsi="黑体" w:eastAsia="黑体" w:cs="黑体"/>
          <w:highlight w:val="none"/>
          <w:lang w:val="en-US" w:eastAsia="zh-CN"/>
        </w:rPr>
        <w:t>五</w:t>
      </w:r>
      <w:r>
        <w:rPr>
          <w:rFonts w:hint="eastAsia" w:ascii="黑体" w:hAnsi="黑体" w:eastAsia="黑体" w:cs="黑体"/>
          <w:highlight w:val="none"/>
        </w:rPr>
        <w:t>月</w:t>
      </w:r>
    </w:p>
    <w:p w14:paraId="4869BE03">
      <w:pPr>
        <w:pStyle w:val="14"/>
        <w:spacing w:line="600" w:lineRule="exact"/>
        <w:ind w:firstLine="0" w:firstLineChars="0"/>
        <w:jc w:val="center"/>
        <w:rPr>
          <w:rFonts w:ascii="宋体" w:hAnsi="宋体" w:eastAsia="宋体" w:cs="仿宋_GB2312"/>
          <w:b/>
          <w:sz w:val="36"/>
          <w:szCs w:val="36"/>
          <w:highlight w:val="none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727A8C48">
      <w:pPr>
        <w:pStyle w:val="26"/>
        <w:spacing w:before="0" w:line="600" w:lineRule="exact"/>
        <w:jc w:val="center"/>
        <w:rPr>
          <w:sz w:val="24"/>
          <w:szCs w:val="24"/>
          <w:highlight w:val="none"/>
        </w:rPr>
      </w:pPr>
      <w:bookmarkStart w:id="16" w:name="_Toc6509"/>
      <w:bookmarkStart w:id="17" w:name="_Toc7033"/>
      <w:bookmarkStart w:id="18" w:name="_Toc21068"/>
      <w:r>
        <w:rPr>
          <w:rFonts w:hint="eastAsia" w:ascii="方正小标宋简体" w:eastAsia="方正小标宋简体"/>
          <w:b w:val="0"/>
          <w:color w:val="auto"/>
          <w:sz w:val="36"/>
          <w:szCs w:val="36"/>
          <w:highlight w:val="none"/>
          <w:lang w:val="zh-CN"/>
        </w:rPr>
        <w:t>目  录</w:t>
      </w:r>
      <w:bookmarkEnd w:id="16"/>
      <w:bookmarkEnd w:id="17"/>
      <w:bookmarkEnd w:id="18"/>
    </w:p>
    <w:p w14:paraId="48329CDB">
      <w:pPr>
        <w:pStyle w:val="14"/>
        <w:tabs>
          <w:tab w:val="right" w:leader="dot" w:pos="8306"/>
        </w:tabs>
      </w:pPr>
      <w:r>
        <w:rPr>
          <w:rFonts w:hint="eastAsia" w:ascii="仿宋" w:hAnsi="仿宋" w:eastAsia="仿宋" w:cs="仿宋"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highlight w:val="none"/>
        </w:rPr>
        <w:instrText xml:space="preserve"> TOC \o "1-3" \h \z \u </w:instrText>
      </w:r>
      <w:r>
        <w:rPr>
          <w:rFonts w:hint="eastAsia" w:ascii="仿宋" w:hAnsi="仿宋" w:eastAsia="仿宋" w:cs="仿宋"/>
          <w:sz w:val="32"/>
          <w:szCs w:val="32"/>
          <w:highlight w:val="none"/>
        </w:rPr>
        <w:fldChar w:fldCharType="separate"/>
      </w:r>
    </w:p>
    <w:p w14:paraId="198D1445">
      <w:pPr>
        <w:pStyle w:val="14"/>
        <w:tabs>
          <w:tab w:val="right" w:leader="dot" w:pos="8306"/>
        </w:tabs>
        <w:ind w:firstLine="0" w:firstLineChars="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_Toc471927332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Cs/>
          <w:highlight w:val="none"/>
        </w:rPr>
        <w:t>一、基本情况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_Toc471927332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1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3E2D2382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_Toc1025560553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（一）项目概况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_Toc1025560553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1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1CCA2E49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_Toc1994874020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（二）项目绩效目标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_Toc1994874020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2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6C2908BD">
      <w:pPr>
        <w:pStyle w:val="14"/>
        <w:tabs>
          <w:tab w:val="right" w:leader="dot" w:pos="8306"/>
        </w:tabs>
        <w:ind w:firstLine="0" w:firstLineChars="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_Toc1332957176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Cs/>
          <w:highlight w:val="none"/>
        </w:rPr>
        <w:t>二、绩效评价工作开展情况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_Toc1332957176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3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72220270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_Toc461851528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（一）绩效评价目的、对象和范围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_Toc461851528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3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1123BC06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_Toc1332730838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（二）绩效评价原则、评价指标体系、评价方法、评价标准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_Toc1332730838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3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285518CA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_Toc1664869418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（三）绩效评价工作过程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_Toc1664869418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4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4F9AFDA9">
      <w:pPr>
        <w:pStyle w:val="14"/>
        <w:tabs>
          <w:tab w:val="right" w:leader="dot" w:pos="8306"/>
        </w:tabs>
        <w:ind w:firstLine="0" w:firstLineChars="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_Toc1895871563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Cs/>
          <w:highlight w:val="none"/>
        </w:rPr>
        <w:t>三、综合评价情况及评价结论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_Toc1895871563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5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6878A222">
      <w:pPr>
        <w:pStyle w:val="14"/>
        <w:tabs>
          <w:tab w:val="right" w:leader="dot" w:pos="8306"/>
        </w:tabs>
        <w:ind w:firstLine="0" w:firstLineChars="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_Toc1698488802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Cs/>
          <w:highlight w:val="none"/>
        </w:rPr>
        <w:t>四、绩效评价指标分析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_Toc1698488802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6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5986D473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_Toc1175643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（一）项目决策情况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_Toc1175643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6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287A366E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_Toc1754590518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（二）项目过程情况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_Toc1754590518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8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1BEDFA1C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_Toc1446846163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（三）项目产出情况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_Toc1446846163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9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3E2894DE">
      <w:pPr>
        <w:pStyle w:val="15"/>
        <w:tabs>
          <w:tab w:val="right" w:leader="dot" w:pos="8306"/>
        </w:tabs>
        <w:ind w:left="0" w:leftChars="0" w:firstLine="640" w:firstLineChars="20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_Toc1186126560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highlight w:val="none"/>
        </w:rPr>
        <w:t>（四）项目效益情况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_Toc1186126560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11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41673874">
      <w:pPr>
        <w:pStyle w:val="14"/>
        <w:tabs>
          <w:tab w:val="right" w:leader="dot" w:pos="8306"/>
        </w:tabs>
        <w:ind w:firstLine="0" w:firstLineChars="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_Toc138398819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Cs/>
          <w:highlight w:val="none"/>
        </w:rPr>
        <w:t>五、存在的问题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_Toc138398819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12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7DFB71B9">
      <w:pPr>
        <w:pStyle w:val="14"/>
        <w:tabs>
          <w:tab w:val="right" w:leader="dot" w:pos="8306"/>
        </w:tabs>
        <w:ind w:firstLine="0" w:firstLineChars="0"/>
        <w:rPr>
          <w:rFonts w:hint="eastAsia" w:hAnsi="仿宋_GB2312" w:cs="仿宋_GB2312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  <w:highlight w:val="none"/>
        </w:rPr>
        <w:instrText xml:space="preserve"> HYPERLINK \l _Toc1272168410 </w:instrText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bCs/>
          <w:highlight w:val="none"/>
        </w:rPr>
        <w:t>六、</w:t>
      </w: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t>改进措施和建议</w:t>
      </w:r>
      <w:r>
        <w:rPr>
          <w:rFonts w:hint="eastAsia" w:hAnsi="仿宋_GB2312" w:cs="仿宋_GB2312"/>
        </w:rPr>
        <w:tab/>
      </w:r>
      <w:r>
        <w:rPr>
          <w:rFonts w:hint="eastAsia" w:hAnsi="仿宋_GB2312" w:cs="仿宋_GB2312"/>
        </w:rPr>
        <w:fldChar w:fldCharType="begin"/>
      </w:r>
      <w:r>
        <w:rPr>
          <w:rFonts w:hint="eastAsia" w:hAnsi="仿宋_GB2312" w:cs="仿宋_GB2312"/>
        </w:rPr>
        <w:instrText xml:space="preserve"> PAGEREF _Toc1272168410 \h </w:instrText>
      </w:r>
      <w:r>
        <w:rPr>
          <w:rFonts w:hint="eastAsia" w:hAnsi="仿宋_GB2312" w:cs="仿宋_GB2312"/>
        </w:rPr>
        <w:fldChar w:fldCharType="separate"/>
      </w:r>
      <w:r>
        <w:rPr>
          <w:rFonts w:hint="eastAsia" w:hAnsi="仿宋_GB2312" w:cs="仿宋_GB2312"/>
        </w:rPr>
        <w:t>13</w:t>
      </w:r>
      <w:r>
        <w:rPr>
          <w:rFonts w:hint="eastAsia" w:hAnsi="仿宋_GB2312" w:cs="仿宋_GB2312"/>
        </w:rPr>
        <w:fldChar w:fldCharType="end"/>
      </w:r>
      <w:r>
        <w:rPr>
          <w:rFonts w:hint="eastAsia" w:ascii="仿宋_GB2312" w:hAnsi="仿宋_GB2312" w:eastAsia="仿宋_GB2312" w:cs="仿宋_GB2312"/>
          <w:szCs w:val="32"/>
          <w:highlight w:val="none"/>
        </w:rPr>
        <w:fldChar w:fldCharType="end"/>
      </w:r>
    </w:p>
    <w:p w14:paraId="1C35D0AF">
      <w:pPr>
        <w:pStyle w:val="14"/>
        <w:tabs>
          <w:tab w:val="right" w:leader="dot" w:pos="8306"/>
        </w:tabs>
      </w:pPr>
    </w:p>
    <w:p w14:paraId="29C16B84">
      <w:pPr>
        <w:spacing w:line="560" w:lineRule="exact"/>
        <w:ind w:firstLine="0" w:firstLineChars="0"/>
        <w:rPr>
          <w:rFonts w:ascii="宋体" w:hAnsi="宋体" w:eastAsia="宋体" w:cs="仿宋_GB2312"/>
          <w:b/>
          <w:sz w:val="36"/>
          <w:szCs w:val="36"/>
          <w:highlight w:val="none"/>
        </w:rPr>
        <w:sectPr>
          <w:footerReference r:id="rId11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Cs w:val="32"/>
          <w:highlight w:val="none"/>
        </w:rPr>
        <w:fldChar w:fldCharType="end"/>
      </w:r>
    </w:p>
    <w:p w14:paraId="68EC9B77">
      <w:pPr>
        <w:snapToGrid w:val="0"/>
        <w:spacing w:line="560" w:lineRule="exact"/>
        <w:ind w:firstLine="0" w:firstLineChars="0"/>
        <w:jc w:val="center"/>
        <w:rPr>
          <w:rFonts w:hint="eastAsia" w:ascii="方正小标宋简体" w:hAnsi="宋体" w:eastAsia="方正小标宋简体" w:cs="仿宋_GB2312"/>
          <w:sz w:val="36"/>
          <w:szCs w:val="36"/>
          <w:highlight w:val="none"/>
          <w:lang w:val="en-US" w:eastAsia="zh-CN"/>
        </w:rPr>
      </w:pPr>
      <w:bookmarkStart w:id="19" w:name="OLE_LINK10"/>
      <w:r>
        <w:rPr>
          <w:rFonts w:hint="eastAsia" w:ascii="方正小标宋简体" w:hAnsi="宋体" w:eastAsia="方正小标宋简体" w:cs="仿宋_GB2312"/>
          <w:sz w:val="36"/>
          <w:szCs w:val="36"/>
          <w:highlight w:val="none"/>
          <w:lang w:val="en-US" w:eastAsia="zh-CN"/>
        </w:rPr>
        <w:t>2024年北京市市长国际企业家顾问会议</w:t>
      </w:r>
    </w:p>
    <w:p w14:paraId="137626FB">
      <w:pPr>
        <w:snapToGrid w:val="0"/>
        <w:spacing w:line="560" w:lineRule="exact"/>
        <w:ind w:firstLine="0" w:firstLineChars="0"/>
        <w:jc w:val="center"/>
        <w:rPr>
          <w:rFonts w:ascii="方正小标宋简体" w:hAnsi="宋体" w:eastAsia="方正小标宋简体" w:cs="仿宋_GB2312"/>
          <w:sz w:val="36"/>
          <w:szCs w:val="36"/>
          <w:highlight w:val="none"/>
        </w:rPr>
      </w:pPr>
      <w:r>
        <w:rPr>
          <w:rFonts w:hint="eastAsia" w:ascii="方正小标宋简体" w:hAnsi="宋体" w:eastAsia="方正小标宋简体" w:cs="仿宋_GB2312"/>
          <w:sz w:val="36"/>
          <w:szCs w:val="36"/>
          <w:highlight w:val="none"/>
        </w:rPr>
        <w:t>项目绩效评价报告</w:t>
      </w:r>
      <w:bookmarkEnd w:id="19"/>
    </w:p>
    <w:p w14:paraId="19C09834">
      <w:pPr>
        <w:spacing w:line="560" w:lineRule="exact"/>
        <w:rPr>
          <w:rFonts w:hint="eastAsia" w:ascii="仿宋" w:hAnsi="仿宋" w:eastAsia="仿宋" w:cs="仿宋"/>
          <w:color w:val="000000"/>
          <w:highlight w:val="none"/>
        </w:rPr>
      </w:pPr>
      <w:bookmarkStart w:id="20" w:name="OLE_LINK29"/>
    </w:p>
    <w:bookmarkEnd w:id="20"/>
    <w:p w14:paraId="7572B6E2">
      <w:pPr>
        <w:pStyle w:val="2"/>
        <w:spacing w:before="0" w:after="0" w:line="560" w:lineRule="exact"/>
        <w:rPr>
          <w:rFonts w:ascii="黑体" w:hAnsi="黑体" w:eastAsia="黑体"/>
          <w:b w:val="0"/>
          <w:bCs/>
          <w:highlight w:val="none"/>
        </w:rPr>
      </w:pPr>
      <w:bookmarkStart w:id="21" w:name="_Toc395805625"/>
      <w:bookmarkStart w:id="22" w:name="_Toc36137492"/>
      <w:bookmarkStart w:id="23" w:name="_Toc471927332"/>
      <w:bookmarkStart w:id="24" w:name="_Toc846731263"/>
      <w:r>
        <w:rPr>
          <w:rFonts w:hint="eastAsia" w:ascii="黑体" w:hAnsi="黑体" w:eastAsia="黑体" w:cs="宋体"/>
          <w:b w:val="0"/>
          <w:bCs/>
          <w:highlight w:val="none"/>
        </w:rPr>
        <w:t>一、</w:t>
      </w:r>
      <w:bookmarkEnd w:id="21"/>
      <w:r>
        <w:rPr>
          <w:rFonts w:hint="eastAsia" w:ascii="黑体" w:hAnsi="黑体" w:eastAsia="黑体" w:cs="宋体"/>
          <w:b w:val="0"/>
          <w:bCs/>
          <w:highlight w:val="none"/>
        </w:rPr>
        <w:t>基本情况</w:t>
      </w:r>
      <w:bookmarkEnd w:id="22"/>
      <w:bookmarkEnd w:id="23"/>
      <w:bookmarkEnd w:id="24"/>
    </w:p>
    <w:p w14:paraId="09B0A65E">
      <w:pPr>
        <w:pStyle w:val="3"/>
        <w:spacing w:before="0" w:after="0" w:line="560" w:lineRule="exact"/>
        <w:rPr>
          <w:rFonts w:hint="eastAsia" w:ascii="仿宋" w:hAnsi="仿宋" w:eastAsia="仿宋" w:cs="仿宋"/>
          <w:b/>
          <w:bCs/>
          <w:highlight w:val="none"/>
        </w:rPr>
      </w:pPr>
      <w:bookmarkStart w:id="25" w:name="_Toc36137493"/>
      <w:bookmarkStart w:id="26" w:name="_Toc1785692219"/>
      <w:bookmarkStart w:id="27" w:name="_Toc1025560553"/>
      <w:r>
        <w:rPr>
          <w:rFonts w:hint="eastAsia" w:ascii="楷体" w:hAnsi="楷体" w:eastAsia="楷体" w:cs="宋体"/>
          <w:highlight w:val="none"/>
        </w:rPr>
        <w:t>（一）项目概况</w:t>
      </w:r>
      <w:bookmarkEnd w:id="25"/>
      <w:bookmarkEnd w:id="26"/>
      <w:bookmarkEnd w:id="27"/>
    </w:p>
    <w:p w14:paraId="49A4AE58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</w:rPr>
      </w:pPr>
      <w:bookmarkStart w:id="28" w:name="_Toc892463449"/>
      <w:r>
        <w:rPr>
          <w:rFonts w:hint="eastAsia" w:ascii="仿宋" w:hAnsi="仿宋" w:eastAsia="仿宋" w:cs="仿宋"/>
          <w:b/>
          <w:bCs w:val="0"/>
          <w:highlight w:val="none"/>
        </w:rPr>
        <w:t>1.项目背景</w:t>
      </w:r>
      <w:bookmarkEnd w:id="28"/>
    </w:p>
    <w:p w14:paraId="44FAF860">
      <w:pPr>
        <w:spacing w:line="560" w:lineRule="exact"/>
        <w:rPr>
          <w:rFonts w:hint="eastAsia" w:ascii="仿宋" w:hAnsi="仿宋" w:eastAsia="仿宋" w:cs="仿宋"/>
          <w:bCs/>
          <w:highlight w:val="none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</w:rPr>
        <w:t>为了进一步深化改革、扩大开放，促进跨国企业进一步了解北京并深入合作，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北京市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于1999年创办“北京市市长国际企业家顾问会议”（以下简称“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国际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顾问会”）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，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展示高水平开放和高质量发展成果。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中国国际贸易促进委员会北京市分会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（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以下简称“北京市贸促会”）设立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国际顾问会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秘书处，负责每届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国际顾问会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的组织实施，自2004年起，每两年举办一届，2024年北京市贸促会申请举办第十六届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国际顾问会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。</w:t>
      </w:r>
    </w:p>
    <w:p w14:paraId="71EEC473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</w:rPr>
      </w:pPr>
      <w:bookmarkStart w:id="29" w:name="_Toc1607396695"/>
      <w:r>
        <w:rPr>
          <w:rFonts w:hint="eastAsia" w:ascii="仿宋" w:hAnsi="仿宋" w:eastAsia="仿宋" w:cs="仿宋"/>
          <w:b/>
          <w:bCs w:val="0"/>
          <w:highlight w:val="none"/>
        </w:rPr>
        <w:t>2.项目内容</w:t>
      </w:r>
      <w:bookmarkEnd w:id="29"/>
    </w:p>
    <w:p w14:paraId="07C9BA35">
      <w:pPr>
        <w:spacing w:line="560" w:lineRule="exact"/>
        <w:rPr>
          <w:rFonts w:hint="default" w:ascii="Times New Roman Regular" w:hAnsi="Times New Roman Regular" w:eastAsia="仿宋" w:cs="Times New Roman Regular"/>
          <w:bCs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国际顾问会</w:t>
      </w:r>
      <w:r>
        <w:rPr>
          <w:rFonts w:ascii="Times New Roman" w:hAnsi="Times New Roman" w:cs="Times New Roman"/>
          <w:highlight w:val="none"/>
        </w:rPr>
        <w:t>的主要内容是围绕北京市经济社会发展中重大问题确定议题，请国际企业家顾问研究提出富有创建性的思路，与市长交流对话，进而提出建设性的建议</w:t>
      </w:r>
      <w:r>
        <w:rPr>
          <w:rFonts w:ascii="Times New Roman" w:hAnsi="Times New Roman" w:cs="Times New Roman"/>
          <w:highlight w:val="none"/>
          <w:lang w:eastAsia="zh-Hans"/>
        </w:rPr>
        <w:t>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eastAsia="zh-CN"/>
        </w:rPr>
        <w:t>国际顾问会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成员由世界知名跨国企业的最高决策人组成。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为保证国际顾问会顺利进行，北京市贸促会主要在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会前完成方案设计、流程规划及会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议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组织筹备；会中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做好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会场布置、技术保障及会议服务；会后负责成果整理、宣传报道等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工作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。</w:t>
      </w:r>
    </w:p>
    <w:p w14:paraId="3106A1BE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</w:rPr>
      </w:pPr>
      <w:bookmarkStart w:id="30" w:name="_Toc171973605"/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 w:val="0"/>
          <w:highlight w:val="none"/>
        </w:rPr>
        <w:t>.资金投入和使用情况</w:t>
      </w:r>
      <w:bookmarkEnd w:id="30"/>
    </w:p>
    <w:p w14:paraId="68D714F4">
      <w:pPr>
        <w:spacing w:line="560" w:lineRule="exact"/>
        <w:rPr>
          <w:rFonts w:hint="default" w:ascii="Times New Roman Regular" w:hAnsi="Times New Roman Regular" w:eastAsia="仿宋" w:cs="Times New Roman Regular"/>
          <w:bCs/>
          <w:highlight w:val="none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</w:rPr>
        <w:t>本项目的年初预算批复金额为797.62万元，其中财政资金446.1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4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万元，单位自有资金351.48万元；后经评审确定项目金额为783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/>
        </w:rPr>
        <w:t>.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5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9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万元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eastAsia="zh-CN"/>
        </w:rPr>
        <w:t>，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其中财政资金446.14万元，单位自有资金337.45万元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；项目全年实际支出745.1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9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万元，其中，财政资金支出437.9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4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万元，单位自有资金支出307.25万元，预算执行率9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5.10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%。</w:t>
      </w:r>
    </w:p>
    <w:p w14:paraId="14372BB1">
      <w:pPr>
        <w:pStyle w:val="8"/>
        <w:snapToGrid w:val="0"/>
        <w:spacing w:before="217" w:beforeLines="50" w:after="0" w:line="240" w:lineRule="auto"/>
        <w:ind w:firstLine="0" w:firstLineChars="0"/>
        <w:jc w:val="center"/>
        <w:rPr>
          <w:rFonts w:ascii="Times New Roman" w:hAnsi="Times New Roman" w:eastAsia="黑体" w:cs="Times New Roman"/>
          <w:sz w:val="28"/>
          <w:szCs w:val="28"/>
          <w:highlight w:val="none"/>
        </w:rPr>
      </w:pPr>
      <w:r>
        <w:rPr>
          <w:rFonts w:ascii="Times New Roman" w:hAnsi="Times New Roman" w:eastAsia="黑体" w:cs="Times New Roman"/>
          <w:sz w:val="28"/>
          <w:szCs w:val="28"/>
          <w:highlight w:val="none"/>
        </w:rPr>
        <w:t>表1 项目预算执行情况表</w:t>
      </w:r>
    </w:p>
    <w:p w14:paraId="7438C496">
      <w:pPr>
        <w:pStyle w:val="8"/>
        <w:snapToGrid w:val="0"/>
        <w:spacing w:after="0" w:line="240" w:lineRule="auto"/>
        <w:ind w:firstLine="480"/>
        <w:jc w:val="right"/>
        <w:rPr>
          <w:rFonts w:ascii="Times New Roman" w:hAnsi="Times New Roman" w:eastAsia="黑体" w:cs="Times New Roman"/>
          <w:sz w:val="24"/>
          <w:highlight w:val="none"/>
        </w:rPr>
      </w:pPr>
      <w:r>
        <w:rPr>
          <w:rFonts w:ascii="Times New Roman" w:hAnsi="Times New Roman" w:eastAsia="黑体" w:cs="Times New Roman"/>
          <w:sz w:val="24"/>
          <w:highlight w:val="none"/>
        </w:rPr>
        <w:t>单位：万元</w:t>
      </w:r>
    </w:p>
    <w:tbl>
      <w:tblPr>
        <w:tblStyle w:val="2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822"/>
        <w:gridCol w:w="1897"/>
        <w:gridCol w:w="1601"/>
        <w:gridCol w:w="1601"/>
      </w:tblGrid>
      <w:tr w14:paraId="2D729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39" w:type="pct"/>
            <w:shd w:val="clear" w:color="auto" w:fill="auto"/>
            <w:vAlign w:val="center"/>
          </w:tcPr>
          <w:p w14:paraId="7C4B5A82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  <w:t>资金来源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4E6B5D1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  <w:t>年初预算数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134B326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  <w:t>调整后预算数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0A477BD5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  <w:t>实际支出数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00E01EB5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  <w:t>预算执行率</w:t>
            </w:r>
          </w:p>
        </w:tc>
      </w:tr>
      <w:tr w14:paraId="3C76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39" w:type="pct"/>
            <w:shd w:val="clear" w:color="auto" w:fill="auto"/>
            <w:vAlign w:val="center"/>
          </w:tcPr>
          <w:p w14:paraId="2486C217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highlight w:val="none"/>
              </w:rPr>
              <w:t>财政资金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1A0E9E66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446.1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300F9A2A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446.1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101F9BD2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437.9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6C5CC07B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  <w:t>98.16%</w:t>
            </w:r>
          </w:p>
        </w:tc>
      </w:tr>
      <w:tr w14:paraId="0119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39" w:type="pct"/>
            <w:shd w:val="clear" w:color="auto" w:fill="auto"/>
            <w:vAlign w:val="center"/>
          </w:tcPr>
          <w:p w14:paraId="5E52131B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highlight w:val="none"/>
              </w:rPr>
              <w:t>自有资金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2C013B1E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 w:val="0"/>
                <w:color w:val="auto"/>
                <w:sz w:val="24"/>
                <w:highlight w:val="none"/>
              </w:rPr>
              <w:t>351.48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2F679944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337.45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3E961A94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  <w:t>307.25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00014B4F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highlight w:val="none"/>
                <w:lang w:val="en-US" w:eastAsia="zh-CN"/>
              </w:rPr>
              <w:t>91.05%</w:t>
            </w:r>
          </w:p>
        </w:tc>
      </w:tr>
      <w:tr w14:paraId="12D53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39" w:type="pct"/>
            <w:shd w:val="clear" w:color="auto" w:fill="auto"/>
            <w:vAlign w:val="center"/>
          </w:tcPr>
          <w:p w14:paraId="69F68CBE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highlight w:val="none"/>
              </w:rPr>
              <w:t>合计</w:t>
            </w:r>
          </w:p>
        </w:tc>
        <w:tc>
          <w:tcPr>
            <w:tcW w:w="1069" w:type="pct"/>
            <w:shd w:val="clear" w:color="auto" w:fill="auto"/>
            <w:vAlign w:val="center"/>
          </w:tcPr>
          <w:p w14:paraId="1C496BB4">
            <w:pPr>
              <w:ind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797.62</w:t>
            </w:r>
          </w:p>
        </w:tc>
        <w:tc>
          <w:tcPr>
            <w:tcW w:w="1113" w:type="pct"/>
            <w:shd w:val="clear" w:color="auto" w:fill="auto"/>
            <w:vAlign w:val="center"/>
          </w:tcPr>
          <w:p w14:paraId="7C860D35"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highlight w:val="none"/>
              </w:rPr>
              <w:t>783.5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67490C6E">
            <w:pPr>
              <w:ind w:firstLine="0" w:firstLineChars="0"/>
              <w:jc w:val="center"/>
              <w:rPr>
                <w:rFonts w:hint="eastAsia" w:ascii="Times New Roman Bold" w:hAnsi="Times New Roman Bold" w:eastAsia="宋体" w:cs="Times New Roman Bold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sz w:val="24"/>
                <w:highlight w:val="none"/>
              </w:rPr>
              <w:t>745.1</w:t>
            </w:r>
            <w:r>
              <w:rPr>
                <w:rFonts w:hint="eastAsia" w:ascii="Times New Roman Bold" w:hAnsi="Times New Roman Bold" w:eastAsia="宋体" w:cs="Times New Roman Bold"/>
                <w:b/>
                <w:bCs/>
                <w:color w:val="auto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31A7F645">
            <w:pPr>
              <w:ind w:firstLine="0" w:firstLineChars="0"/>
              <w:jc w:val="center"/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default" w:ascii="Times New Roman Bold" w:hAnsi="Times New Roman Bold" w:eastAsia="宋体" w:cs="Times New Roman Bold"/>
                <w:b/>
                <w:bCs/>
                <w:color w:val="auto"/>
                <w:sz w:val="24"/>
                <w:highlight w:val="none"/>
                <w:lang w:val="en-US" w:eastAsia="zh-CN"/>
              </w:rPr>
              <w:t>95.10%</w:t>
            </w:r>
          </w:p>
        </w:tc>
      </w:tr>
    </w:tbl>
    <w:p w14:paraId="4BCE3EBF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31" w:name="_Toc36137494"/>
      <w:bookmarkStart w:id="32" w:name="_Toc1994874020"/>
      <w:bookmarkStart w:id="33" w:name="_Toc1045157908"/>
      <w:r>
        <w:rPr>
          <w:rFonts w:hint="eastAsia" w:ascii="楷体" w:hAnsi="楷体" w:eastAsia="楷体" w:cs="宋体"/>
          <w:highlight w:val="none"/>
        </w:rPr>
        <w:t>（二）项目绩效目标</w:t>
      </w:r>
      <w:bookmarkEnd w:id="31"/>
      <w:bookmarkEnd w:id="32"/>
      <w:bookmarkEnd w:id="33"/>
    </w:p>
    <w:p w14:paraId="24BDFFAE">
      <w:pPr>
        <w:spacing w:line="560" w:lineRule="exact"/>
        <w:ind w:firstLine="0"/>
        <w:rPr>
          <w:rFonts w:hint="default" w:ascii="Times New Roman Regular" w:hAnsi="Times New Roman Regular" w:eastAsia="仿宋" w:cs="Times New Roman Regular"/>
          <w:b w:val="0"/>
          <w:bCs/>
          <w:highlight w:val="none"/>
        </w:rPr>
      </w:pPr>
      <w:r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根据绩效目标申报表，该项目年度总体绩效目标为：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一是</w:t>
      </w:r>
      <w:r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筹备并举办第十六届北京市市长国际企业家顾问会议，包括合影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、</w:t>
      </w:r>
      <w:r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会见、向新顾问颁发聘书、闭门会议等活动。与顾问会联席会</w:t>
      </w:r>
      <w:r>
        <w:rPr>
          <w:rFonts w:hint="default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议机制成员单位拟定会议议题；提前半年向所有顾问发出邀请通知，请顾问根据议题撰写报告；协助顾问单位调研；汇编顾问报告及建议，发至相关</w:t>
      </w: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单位</w:t>
      </w:r>
      <w:r>
        <w:rPr>
          <w:rFonts w:hint="default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并收集采纳情况；正式会议前召开工作层面部署会。邀请</w:t>
      </w:r>
      <w:r>
        <w:rPr>
          <w:rFonts w:hint="eastAsia" w:ascii="Times New Roman Regular" w:hAnsi="Times New Roman Regular" w:eastAsia="仿宋" w:cs="Times New Roman Regular"/>
          <w:b w:val="0"/>
          <w:bCs/>
          <w:strike w:val="0"/>
          <w:color w:val="auto"/>
          <w:highlight w:val="none"/>
          <w:lang w:val="en-US" w:eastAsia="zh-CN"/>
        </w:rPr>
        <w:t>有关嘉宾</w:t>
      </w:r>
      <w:r>
        <w:rPr>
          <w:rFonts w:hint="default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出席会议。</w:t>
      </w: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二是</w:t>
      </w:r>
      <w:r>
        <w:rPr>
          <w:rFonts w:hint="default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日常工作。顾问会议后，整理摘编顾问报告精要内容，发送</w:t>
      </w: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相关单位</w:t>
      </w:r>
      <w:r>
        <w:rPr>
          <w:rFonts w:hint="default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并收集反馈信息，整理后回馈顾问本人。此外，完成顾问会秘书处其他日常工作，</w:t>
      </w:r>
      <w:r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包括顾问日常访问北京的联络、接待，顾问更换相关申请手续及聘书制作，顾问对北京市相关工作随时提出的相关意见的收集反映及反馈信息，组织36家顾问单位在京机构</w:t>
      </w:r>
      <w:r>
        <w:rPr>
          <w:rFonts w:hint="eastAsia" w:ascii="Times New Roman Regular" w:hAnsi="Times New Roman Regular" w:eastAsia="仿宋" w:cs="Times New Roman Regular"/>
          <w:b w:val="0"/>
          <w:bCs/>
          <w:strike w:val="0"/>
          <w:color w:val="auto"/>
          <w:highlight w:val="none"/>
          <w:lang w:val="en-US" w:eastAsia="zh-CN"/>
        </w:rPr>
        <w:t>开展</w:t>
      </w:r>
      <w:r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交流活动共计4-6场，就顾问单位在京发展出现的相关问题进行协助解决等。</w:t>
      </w:r>
    </w:p>
    <w:p w14:paraId="03F65B8F">
      <w:pPr>
        <w:pStyle w:val="2"/>
        <w:spacing w:before="0" w:after="0" w:line="560" w:lineRule="exact"/>
        <w:rPr>
          <w:rFonts w:ascii="黑体" w:hAnsi="黑体" w:eastAsia="黑体" w:cs="宋体"/>
          <w:b w:val="0"/>
          <w:bCs/>
          <w:highlight w:val="none"/>
        </w:rPr>
      </w:pPr>
      <w:bookmarkStart w:id="34" w:name="_Toc1332957176"/>
      <w:bookmarkStart w:id="35" w:name="_Toc1700210943"/>
      <w:bookmarkStart w:id="36" w:name="_Toc36137495"/>
      <w:r>
        <w:rPr>
          <w:rFonts w:hint="eastAsia" w:ascii="黑体" w:hAnsi="黑体" w:eastAsia="黑体" w:cs="宋体"/>
          <w:b w:val="0"/>
          <w:bCs/>
          <w:highlight w:val="none"/>
        </w:rPr>
        <w:t>二、绩效评价工作开展情况</w:t>
      </w:r>
      <w:bookmarkEnd w:id="34"/>
      <w:bookmarkEnd w:id="35"/>
      <w:bookmarkEnd w:id="36"/>
    </w:p>
    <w:p w14:paraId="131EBD59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37" w:name="_Toc1027912019"/>
      <w:bookmarkStart w:id="38" w:name="_Toc461851528"/>
      <w:bookmarkStart w:id="39" w:name="_Toc36137496"/>
      <w:r>
        <w:rPr>
          <w:rFonts w:hint="eastAsia" w:ascii="楷体" w:hAnsi="楷体" w:eastAsia="楷体" w:cs="宋体"/>
          <w:highlight w:val="none"/>
        </w:rPr>
        <w:t>（一）绩效评价目的、对象和范围</w:t>
      </w:r>
      <w:bookmarkEnd w:id="37"/>
      <w:bookmarkEnd w:id="38"/>
      <w:bookmarkEnd w:id="39"/>
    </w:p>
    <w:p w14:paraId="219869AF">
      <w:pPr>
        <w:spacing w:line="560" w:lineRule="exact"/>
        <w:ind w:firstLine="640" w:firstLineChars="200"/>
        <w:rPr>
          <w:rFonts w:hint="eastAsia" w:ascii="仿宋" w:hAnsi="仿宋" w:eastAsia="仿宋" w:cs="仿宋"/>
          <w:bCs/>
          <w:highlight w:val="none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项目主管部门为提高科学决策水平、规范项目管理，保证项目资金使用的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规范性、安全性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eastAsia="zh-CN"/>
        </w:rPr>
        <w:t>，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为下一步预算资金安排提供重要参考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eastAsia="zh-CN"/>
        </w:rPr>
        <w:t>，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成立绩效评价工作组（以下简称“评价工作组”），对2024年北京市市长国际企业家顾问会议项目的绩效情况实施综合评价。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通过本次绩效评价，总结经验，分析项目的经济性、效率性和效果性，发现项目决策、项目过程、项目产出和项目效益中存在的问题，为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项目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主管部门改进工作提供决策建议和依据，促进项目实施单位树立以结果为导向的绩效管理理念。</w:t>
      </w:r>
    </w:p>
    <w:p w14:paraId="3D6BCAF9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40" w:name="_Toc1332730838"/>
      <w:bookmarkStart w:id="41" w:name="_Toc1758846865"/>
      <w:bookmarkStart w:id="42" w:name="_Toc36137497"/>
      <w:r>
        <w:rPr>
          <w:rFonts w:hint="eastAsia" w:ascii="楷体" w:hAnsi="楷体" w:eastAsia="楷体" w:cs="宋体"/>
          <w:highlight w:val="none"/>
        </w:rPr>
        <w:t>（二）绩效评</w:t>
      </w:r>
      <w:r>
        <w:rPr>
          <w:rFonts w:hint="eastAsia" w:ascii="楷体" w:hAnsi="楷体" w:eastAsia="楷体" w:cs="宋体"/>
          <w:color w:val="auto"/>
          <w:highlight w:val="none"/>
        </w:rPr>
        <w:t>价原则</w:t>
      </w:r>
      <w:r>
        <w:rPr>
          <w:rFonts w:hint="eastAsia" w:ascii="楷体" w:hAnsi="楷体" w:eastAsia="楷体" w:cs="宋体"/>
          <w:color w:val="auto"/>
          <w:highlight w:val="none"/>
          <w:lang w:eastAsia="zh-CN"/>
        </w:rPr>
        <w:t>和</w:t>
      </w:r>
      <w:r>
        <w:rPr>
          <w:rFonts w:hint="eastAsia" w:ascii="楷体" w:hAnsi="楷体" w:eastAsia="楷体" w:cs="宋体"/>
          <w:color w:val="auto"/>
          <w:highlight w:val="none"/>
        </w:rPr>
        <w:t>指标体系、评价</w:t>
      </w:r>
      <w:r>
        <w:rPr>
          <w:rFonts w:hint="eastAsia" w:ascii="楷体" w:hAnsi="楷体" w:eastAsia="楷体" w:cs="宋体"/>
          <w:highlight w:val="none"/>
        </w:rPr>
        <w:t>方法、评价标准</w:t>
      </w:r>
      <w:bookmarkEnd w:id="40"/>
      <w:bookmarkEnd w:id="41"/>
      <w:bookmarkEnd w:id="42"/>
    </w:p>
    <w:p w14:paraId="379E3423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color w:val="auto"/>
          <w:highlight w:val="none"/>
        </w:rPr>
      </w:pPr>
      <w:bookmarkStart w:id="43" w:name="_Toc952756056"/>
      <w:r>
        <w:rPr>
          <w:rFonts w:hint="eastAsia" w:ascii="仿宋" w:hAnsi="仿宋" w:eastAsia="仿宋" w:cs="仿宋"/>
          <w:b/>
          <w:bCs w:val="0"/>
          <w:highlight w:val="none"/>
        </w:rPr>
        <w:t>1.评价原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则</w:t>
      </w:r>
      <w:bookmarkEnd w:id="43"/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和指标体系</w:t>
      </w:r>
    </w:p>
    <w:p w14:paraId="02B5797C">
      <w:pPr>
        <w:spacing w:line="560" w:lineRule="exact"/>
        <w:rPr>
          <w:rFonts w:hint="eastAsia" w:ascii="仿宋" w:hAnsi="仿宋" w:eastAsia="仿宋" w:cs="仿宋"/>
          <w:bCs/>
          <w:highlight w:val="none"/>
          <w:lang w:eastAsia="zh-CN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</w:rPr>
        <w:t>根据</w:t>
      </w:r>
      <w:r>
        <w:rPr>
          <w:rFonts w:hint="eastAsia" w:ascii="Times New Roman Regular" w:hAnsi="Times New Roman Regular" w:eastAsia="仿宋" w:cs="Times New Roman Regular"/>
          <w:bCs/>
          <w:color w:val="auto"/>
          <w:highlight w:val="none"/>
          <w:lang w:eastAsia="zh-CN"/>
        </w:rPr>
        <w:t>相关制度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文件规定，按照科学规范、绩效相关、政策相符、独立评价的原则实施评价。结合项目特点，细化了包括决策、过程、产出和效益4个一级指标，11个二级指标和23个三级指标</w:t>
      </w:r>
      <w:r>
        <w:rPr>
          <w:rFonts w:hint="eastAsia" w:ascii="Times New Roman Regular" w:hAnsi="Times New Roman Regular" w:eastAsia="仿宋" w:cs="Times New Roman Regular"/>
          <w:bCs/>
          <w:color w:val="auto"/>
          <w:highlight w:val="none"/>
          <w:lang w:eastAsia="zh-CN"/>
        </w:rPr>
        <w:t>。</w:t>
      </w:r>
    </w:p>
    <w:p w14:paraId="7C9C47AA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</w:rPr>
      </w:pPr>
      <w:bookmarkStart w:id="44" w:name="_Toc528810616"/>
      <w:r>
        <w:rPr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.评</w:t>
      </w:r>
      <w:r>
        <w:rPr>
          <w:rFonts w:hint="eastAsia" w:ascii="仿宋" w:hAnsi="仿宋" w:eastAsia="仿宋" w:cs="仿宋"/>
          <w:b/>
          <w:bCs w:val="0"/>
          <w:highlight w:val="none"/>
        </w:rPr>
        <w:t>价方法</w:t>
      </w:r>
      <w:bookmarkEnd w:id="44"/>
    </w:p>
    <w:p w14:paraId="760A150D">
      <w:pPr>
        <w:spacing w:line="560" w:lineRule="exact"/>
        <w:ind w:firstLine="643" w:firstLineChars="200"/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</w:rPr>
      </w:pPr>
      <w:r>
        <w:rPr>
          <w:rFonts w:hint="default" w:ascii="Times New Roman Regular" w:hAnsi="Times New Roman Regular" w:eastAsia="仿宋" w:cs="Times New Roman Regular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 Regular" w:hAnsi="Times New Roman Regular" w:eastAsia="仿宋" w:cs="Times New Roman Regular"/>
          <w:b/>
          <w:bCs w:val="0"/>
          <w:sz w:val="32"/>
          <w:szCs w:val="32"/>
          <w:highlight w:val="none"/>
          <w:lang w:val="en-US" w:eastAsia="zh-CN"/>
        </w:rPr>
        <w:t>1）案卷研究法。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  <w:lang w:val="en-US" w:eastAsia="zh-CN"/>
        </w:rPr>
        <w:t>对于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</w:rPr>
        <w:t>项目有关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  <w:lang w:val="en-US" w:eastAsia="zh-CN"/>
        </w:rPr>
        <w:t>的法规、工作方案、过程文件等相关材料进行深入的研究和分析，提取相关信息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  <w:lang w:val="en-US" w:eastAsia="zh-CN"/>
        </w:rPr>
        <w:t>对照评价指标体系进行逐一评价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</w:rPr>
        <w:t>。</w:t>
      </w:r>
    </w:p>
    <w:p w14:paraId="65BE93FB">
      <w:pPr>
        <w:spacing w:line="560" w:lineRule="exact"/>
        <w:ind w:firstLine="643" w:firstLineChars="200"/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</w:rPr>
      </w:pPr>
      <w:r>
        <w:rPr>
          <w:rFonts w:hint="default" w:ascii="Times New Roman Regular" w:hAnsi="Times New Roman Regular" w:eastAsia="仿宋" w:cs="Times New Roman Regular"/>
          <w:b/>
          <w:bCs w:val="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 Regular" w:hAnsi="Times New Roman Regular" w:eastAsia="仿宋" w:cs="Times New Roman Regular"/>
          <w:b/>
          <w:bCs w:val="0"/>
          <w:sz w:val="32"/>
          <w:szCs w:val="32"/>
          <w:highlight w:val="none"/>
          <w:lang w:val="en-US" w:eastAsia="zh-CN"/>
        </w:rPr>
        <w:t>2）专家咨询法。</w:t>
      </w:r>
      <w:r>
        <w:rPr>
          <w:rFonts w:hint="default" w:ascii="Times New Roman Regular" w:hAnsi="Times New Roman Regular" w:eastAsia="仿宋" w:cs="Times New Roman Regular"/>
          <w:b w:val="0"/>
          <w:bCs/>
          <w:sz w:val="32"/>
          <w:szCs w:val="32"/>
          <w:highlight w:val="none"/>
          <w:lang w:val="en-US" w:eastAsia="zh-CN"/>
        </w:rPr>
        <w:t>在评价过程中，评价工作组通过邀请专家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 Regular" w:hAnsi="Times New Roman Regular" w:eastAsia="仿宋" w:cs="Times New Roman Regular"/>
          <w:bCs/>
          <w:sz w:val="32"/>
          <w:szCs w:val="32"/>
          <w:highlight w:val="none"/>
          <w:lang w:val="en-US" w:eastAsia="zh-CN"/>
        </w:rPr>
        <w:t>针对项目决策、实施过程、产出成果和实际效益这四个维度的完成情况进行评价和打分。最终根据专家的合议结果形成评价结论并提出建设性意见。</w:t>
      </w:r>
    </w:p>
    <w:p w14:paraId="2EA04C06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</w:rPr>
      </w:pPr>
      <w:bookmarkStart w:id="45" w:name="_Toc1432691826"/>
      <w:r>
        <w:rPr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 w:val="0"/>
          <w:color w:val="auto"/>
          <w:highlight w:val="none"/>
        </w:rPr>
        <w:t>.评</w:t>
      </w:r>
      <w:r>
        <w:rPr>
          <w:rFonts w:hint="eastAsia" w:ascii="仿宋" w:hAnsi="仿宋" w:eastAsia="仿宋" w:cs="仿宋"/>
          <w:b/>
          <w:bCs w:val="0"/>
          <w:highlight w:val="none"/>
        </w:rPr>
        <w:t>价绩效级别</w:t>
      </w:r>
      <w:bookmarkEnd w:id="45"/>
    </w:p>
    <w:p w14:paraId="1D4BA009">
      <w:pPr>
        <w:spacing w:line="560" w:lineRule="exact"/>
        <w:rPr>
          <w:rFonts w:hint="eastAsia" w:ascii="仿宋" w:hAnsi="仿宋" w:eastAsia="仿宋" w:cs="仿宋"/>
          <w:bCs/>
          <w:highlight w:val="none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</w:rPr>
        <w:t>本次绩效评价总分值为100分，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其中项目决策分值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10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分，项目过程分值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20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分，项目产出分值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40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分，项目效益分值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30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分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，绩效评价结果实施百分制和四级分类。</w:t>
      </w:r>
    </w:p>
    <w:p w14:paraId="5F026298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46" w:name="_Toc1664869418"/>
      <w:bookmarkStart w:id="47" w:name="_Toc36137498"/>
      <w:bookmarkStart w:id="48" w:name="_Toc826859100"/>
      <w:r>
        <w:rPr>
          <w:rFonts w:hint="eastAsia" w:ascii="楷体" w:hAnsi="楷体" w:eastAsia="楷体" w:cs="宋体"/>
          <w:highlight w:val="none"/>
        </w:rPr>
        <w:t>（三）绩效评价工作过程</w:t>
      </w:r>
      <w:bookmarkEnd w:id="46"/>
      <w:bookmarkEnd w:id="47"/>
      <w:bookmarkEnd w:id="48"/>
    </w:p>
    <w:p w14:paraId="6B2B4A3F">
      <w:pPr>
        <w:spacing w:line="560" w:lineRule="exact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/>
          <w:bCs w:val="0"/>
          <w:highlight w:val="none"/>
        </w:rPr>
        <w:t>1.组建工作组</w:t>
      </w:r>
      <w:r>
        <w:rPr>
          <w:rFonts w:hint="eastAsia" w:ascii="仿宋" w:hAnsi="仿宋" w:eastAsia="仿宋" w:cs="仿宋"/>
          <w:b/>
          <w:bCs w:val="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bCs/>
          <w:highlight w:val="none"/>
        </w:rPr>
        <w:t>按照评价项目的情况，委派专人组建绩效评价工作组。工作组在</w:t>
      </w:r>
      <w:r>
        <w:rPr>
          <w:rFonts w:hint="eastAsia" w:ascii="仿宋" w:hAnsi="仿宋" w:eastAsia="仿宋" w:cs="仿宋"/>
          <w:bCs/>
          <w:highlight w:val="none"/>
          <w:lang w:val="en-US" w:eastAsia="zh-CN"/>
        </w:rPr>
        <w:t>与项目单位沟通</w:t>
      </w:r>
      <w:r>
        <w:rPr>
          <w:rFonts w:hint="eastAsia" w:ascii="仿宋" w:hAnsi="仿宋" w:eastAsia="仿宋" w:cs="仿宋"/>
          <w:bCs/>
          <w:highlight w:val="none"/>
        </w:rPr>
        <w:t>了解项目情况的基础上，明确评价重点、指标体系设计要点、数据获取方式及人员安排等内容。</w:t>
      </w:r>
    </w:p>
    <w:p w14:paraId="3C0ECCF0">
      <w:pPr>
        <w:spacing w:line="560" w:lineRule="exact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/>
          <w:bCs w:val="0"/>
          <w:highlight w:val="none"/>
        </w:rPr>
        <w:t>2.初步审核项目资料</w:t>
      </w:r>
      <w:r>
        <w:rPr>
          <w:rFonts w:hint="eastAsia" w:ascii="仿宋" w:hAnsi="仿宋" w:eastAsia="仿宋" w:cs="仿宋"/>
          <w:bCs/>
          <w:highlight w:val="none"/>
        </w:rPr>
        <w:t>。工作组对项目单位提交资料进行审核梳理，</w:t>
      </w:r>
      <w:r>
        <w:rPr>
          <w:rFonts w:hint="eastAsia" w:ascii="仿宋" w:hAnsi="仿宋" w:eastAsia="仿宋" w:cs="仿宋"/>
          <w:bCs/>
          <w:highlight w:val="none"/>
          <w:lang w:val="en-US" w:eastAsia="zh-CN"/>
        </w:rPr>
        <w:t>并汇总相关数据，参照财政支出项目绩效评价指标体系框架，结合项目特点，</w:t>
      </w:r>
      <w:r>
        <w:rPr>
          <w:rFonts w:hint="eastAsia" w:ascii="仿宋" w:hAnsi="仿宋" w:eastAsia="仿宋" w:cs="仿宋"/>
          <w:bCs/>
          <w:highlight w:val="none"/>
        </w:rPr>
        <w:t>形成</w:t>
      </w:r>
      <w:r>
        <w:rPr>
          <w:rFonts w:hint="eastAsia" w:ascii="仿宋" w:hAnsi="仿宋" w:eastAsia="仿宋" w:cs="仿宋"/>
          <w:bCs/>
          <w:highlight w:val="none"/>
          <w:lang w:val="en-US" w:eastAsia="zh-CN"/>
        </w:rPr>
        <w:t>项目绩效评价指标体系</w:t>
      </w:r>
      <w:r>
        <w:rPr>
          <w:rFonts w:hint="eastAsia" w:ascii="仿宋" w:hAnsi="仿宋" w:eastAsia="仿宋" w:cs="仿宋"/>
          <w:bCs/>
          <w:highlight w:val="none"/>
        </w:rPr>
        <w:t>。</w:t>
      </w:r>
    </w:p>
    <w:p w14:paraId="271D8C21">
      <w:pPr>
        <w:spacing w:line="560" w:lineRule="exact"/>
        <w:rPr>
          <w:rFonts w:hint="default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b/>
          <w:bCs w:val="0"/>
          <w:highlight w:val="none"/>
        </w:rPr>
        <w:t>.组织召开专家预</w:t>
      </w: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评价</w:t>
      </w:r>
      <w:r>
        <w:rPr>
          <w:rFonts w:hint="eastAsia" w:ascii="仿宋" w:hAnsi="仿宋" w:eastAsia="仿宋" w:cs="仿宋"/>
          <w:b/>
          <w:bCs w:val="0"/>
          <w:highlight w:val="none"/>
        </w:rPr>
        <w:t>会。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工作组组织专家就项目情况进行讨论，形成专家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组预评价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意见，并对绩效评价指标体系进行了调整和完善。</w:t>
      </w:r>
    </w:p>
    <w:p w14:paraId="094E60D8">
      <w:pPr>
        <w:spacing w:line="560" w:lineRule="exact"/>
        <w:rPr>
          <w:rFonts w:hint="default" w:ascii="Times New Roman Regular" w:hAnsi="Times New Roman Regular" w:eastAsia="仿宋" w:cs="Times New Roman Regular"/>
          <w:bCs/>
          <w:highlight w:val="none"/>
        </w:rPr>
      </w:pPr>
      <w:r>
        <w:rPr>
          <w:rFonts w:hint="eastAsia" w:ascii="仿宋" w:hAnsi="仿宋" w:eastAsia="仿宋" w:cs="仿宋"/>
          <w:b/>
          <w:bCs w:val="0"/>
          <w:highlight w:val="none"/>
          <w:lang w:eastAsia="zh-CN"/>
        </w:rPr>
        <w:t>4</w:t>
      </w:r>
      <w:r>
        <w:rPr>
          <w:rFonts w:hint="eastAsia" w:ascii="仿宋" w:hAnsi="仿宋" w:eastAsia="仿宋" w:cs="仿宋"/>
          <w:b/>
          <w:bCs w:val="0"/>
          <w:highlight w:val="none"/>
        </w:rPr>
        <w:t>.组织召开专家</w:t>
      </w: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正式</w:t>
      </w:r>
      <w:r>
        <w:rPr>
          <w:rFonts w:hint="eastAsia" w:ascii="仿宋" w:hAnsi="仿宋" w:eastAsia="仿宋" w:cs="仿宋"/>
          <w:b/>
          <w:bCs w:val="0"/>
          <w:highlight w:val="none"/>
        </w:rPr>
        <w:t>评价会。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结合评价工作组初审、专家预审及项目单位补充资料情况，评价工作组召开了专家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正式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评价会，在项目单位进行项目情况汇报的基础上，由专家组组长组织专家就相关问题与项目单位进行沟通，形成专家组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正式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评价意见。</w:t>
      </w:r>
    </w:p>
    <w:p w14:paraId="4561AAA3">
      <w:pPr>
        <w:spacing w:line="560" w:lineRule="exact"/>
        <w:ind w:firstLine="643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bCs w:val="0"/>
          <w:highlight w:val="none"/>
        </w:rPr>
        <w:t>.</w:t>
      </w: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撰写绩效评价报告</w:t>
      </w:r>
      <w:r>
        <w:rPr>
          <w:rFonts w:hint="eastAsia" w:ascii="仿宋" w:hAnsi="仿宋" w:eastAsia="仿宋" w:cs="仿宋"/>
          <w:b/>
          <w:bCs w:val="0"/>
          <w:highlight w:val="none"/>
        </w:rPr>
        <w:t>。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>评价</w:t>
      </w:r>
      <w:r>
        <w:rPr>
          <w:rFonts w:hint="eastAsia" w:ascii="仿宋" w:hAnsi="仿宋" w:eastAsia="仿宋" w:cs="仿宋"/>
          <w:bCs/>
          <w:highlight w:val="none"/>
        </w:rPr>
        <w:t>工作组根据绩效评价报告的编写要求，以专家评价</w:t>
      </w:r>
      <w:r>
        <w:rPr>
          <w:rFonts w:hint="eastAsia" w:ascii="仿宋" w:hAnsi="仿宋" w:eastAsia="仿宋" w:cs="仿宋"/>
          <w:bCs/>
          <w:highlight w:val="none"/>
          <w:lang w:val="en-US" w:eastAsia="zh-CN"/>
        </w:rPr>
        <w:t>意见</w:t>
      </w:r>
      <w:r>
        <w:rPr>
          <w:rFonts w:hint="eastAsia" w:ascii="仿宋" w:hAnsi="仿宋" w:eastAsia="仿宋" w:cs="仿宋"/>
          <w:bCs/>
          <w:highlight w:val="none"/>
        </w:rPr>
        <w:t>及项目单位提交的资料信息等为基础，撰写绩效评价报告。</w:t>
      </w:r>
    </w:p>
    <w:p w14:paraId="36122A0B">
      <w:pPr>
        <w:pStyle w:val="2"/>
        <w:spacing w:before="0" w:after="0" w:line="560" w:lineRule="exact"/>
        <w:rPr>
          <w:rFonts w:ascii="黑体" w:hAnsi="黑体" w:eastAsia="黑体" w:cs="宋体"/>
          <w:b w:val="0"/>
          <w:bCs/>
          <w:highlight w:val="none"/>
        </w:rPr>
      </w:pPr>
      <w:bookmarkStart w:id="49" w:name="_Toc36137499"/>
      <w:bookmarkStart w:id="50" w:name="_Toc654213963"/>
      <w:bookmarkStart w:id="51" w:name="_Toc1895871563"/>
      <w:r>
        <w:rPr>
          <w:rFonts w:hint="eastAsia" w:ascii="黑体" w:hAnsi="黑体" w:eastAsia="黑体" w:cs="宋体"/>
          <w:b w:val="0"/>
          <w:bCs/>
          <w:highlight w:val="none"/>
        </w:rPr>
        <w:t>三、综合评价情况及评价结论</w:t>
      </w:r>
      <w:bookmarkEnd w:id="49"/>
      <w:bookmarkEnd w:id="50"/>
      <w:bookmarkEnd w:id="51"/>
    </w:p>
    <w:p w14:paraId="517CC20C">
      <w:pPr>
        <w:spacing w:line="560" w:lineRule="exact"/>
        <w:rPr>
          <w:rFonts w:hint="default" w:ascii="Times New Roman Regular" w:hAnsi="Times New Roman Regular" w:eastAsia="仿宋" w:cs="Times New Roman Regular"/>
          <w:bCs/>
          <w:highlight w:val="none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  <w:t>2024年北京市市长国际企业家顾问会议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项目综合评价得分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84.48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分，绩效级别评定为“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良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”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eastAsia="zh-CN"/>
        </w:rPr>
        <w:t>，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各指标得分情况详见下表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eastAsia="zh-CN"/>
        </w:rPr>
        <w:t>：</w:t>
      </w:r>
    </w:p>
    <w:p w14:paraId="3322A62E">
      <w:pPr>
        <w:pStyle w:val="6"/>
        <w:ind w:firstLine="0" w:firstLineChars="0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表</w:t>
      </w:r>
      <w:r>
        <w:rPr>
          <w:rFonts w:ascii="Times New Roman" w:hAnsi="Times New Roman" w:cs="Times New Roman"/>
          <w:sz w:val="28"/>
          <w:szCs w:val="28"/>
          <w:highlight w:val="none"/>
        </w:rPr>
        <w:fldChar w:fldCharType="begin"/>
      </w:r>
      <w:r>
        <w:rPr>
          <w:rFonts w:ascii="Times New Roman" w:hAnsi="Times New Roman" w:cs="Times New Roman"/>
          <w:sz w:val="28"/>
          <w:szCs w:val="28"/>
          <w:highlight w:val="none"/>
        </w:rPr>
        <w:instrText xml:space="preserve"> SEQ 表 \* ARABIC </w:instrText>
      </w:r>
      <w:r>
        <w:rPr>
          <w:rFonts w:ascii="Times New Roman" w:hAnsi="Times New Roman" w:cs="Times New Roman"/>
          <w:sz w:val="28"/>
          <w:szCs w:val="28"/>
          <w:highlight w:val="none"/>
        </w:rPr>
        <w:fldChar w:fldCharType="separate"/>
      </w:r>
      <w:r>
        <w:rPr>
          <w:rFonts w:ascii="Times New Roman" w:hAnsi="Times New Roman" w:cs="Times New Roman"/>
          <w:sz w:val="28"/>
          <w:szCs w:val="28"/>
          <w:highlight w:val="none"/>
        </w:rPr>
        <w:t>2</w:t>
      </w:r>
      <w:r>
        <w:rPr>
          <w:rFonts w:ascii="Times New Roman" w:hAnsi="Times New Roman" w:cs="Times New Roman"/>
          <w:sz w:val="28"/>
          <w:szCs w:val="28"/>
          <w:highlight w:val="none"/>
        </w:rPr>
        <w:fldChar w:fldCharType="end"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绩效评价得分情况表</w:t>
      </w:r>
    </w:p>
    <w:tbl>
      <w:tblPr>
        <w:tblStyle w:val="2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2197"/>
        <w:gridCol w:w="1708"/>
        <w:gridCol w:w="2270"/>
      </w:tblGrid>
      <w:tr w14:paraId="38FED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377" w:type="pct"/>
            <w:vAlign w:val="center"/>
          </w:tcPr>
          <w:p w14:paraId="5DD777AE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  <w:t>一级指标</w:t>
            </w:r>
          </w:p>
        </w:tc>
        <w:tc>
          <w:tcPr>
            <w:tcW w:w="1289" w:type="pct"/>
            <w:vAlign w:val="center"/>
          </w:tcPr>
          <w:p w14:paraId="447F1629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  <w:t>分值</w:t>
            </w:r>
          </w:p>
        </w:tc>
        <w:tc>
          <w:tcPr>
            <w:tcW w:w="1002" w:type="pct"/>
            <w:vAlign w:val="center"/>
          </w:tcPr>
          <w:p w14:paraId="6C434622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  <w:t>得分</w:t>
            </w:r>
          </w:p>
        </w:tc>
        <w:tc>
          <w:tcPr>
            <w:tcW w:w="1332" w:type="pct"/>
            <w:vAlign w:val="center"/>
          </w:tcPr>
          <w:p w14:paraId="0A3C2B2B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  <w:t>得分率</w:t>
            </w:r>
          </w:p>
        </w:tc>
      </w:tr>
      <w:tr w14:paraId="506C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377" w:type="pct"/>
            <w:vAlign w:val="center"/>
          </w:tcPr>
          <w:p w14:paraId="4908B71A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  <w:t>决策</w:t>
            </w:r>
          </w:p>
        </w:tc>
        <w:tc>
          <w:tcPr>
            <w:tcW w:w="1289" w:type="pct"/>
            <w:vAlign w:val="center"/>
          </w:tcPr>
          <w:p w14:paraId="238ED572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663" w:type="dxa"/>
            <w:vAlign w:val="center"/>
          </w:tcPr>
          <w:p w14:paraId="74CED77C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7.50</w:t>
            </w:r>
          </w:p>
        </w:tc>
        <w:tc>
          <w:tcPr>
            <w:tcW w:w="2270" w:type="dxa"/>
            <w:vAlign w:val="center"/>
          </w:tcPr>
          <w:p w14:paraId="0AD3298A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75.00%</w:t>
            </w:r>
          </w:p>
        </w:tc>
      </w:tr>
      <w:tr w14:paraId="13A52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377" w:type="pct"/>
            <w:vAlign w:val="center"/>
          </w:tcPr>
          <w:p w14:paraId="7510E7A3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  <w:t>过程</w:t>
            </w:r>
          </w:p>
        </w:tc>
        <w:tc>
          <w:tcPr>
            <w:tcW w:w="1289" w:type="pct"/>
            <w:vAlign w:val="center"/>
          </w:tcPr>
          <w:p w14:paraId="5C5B59BB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</w:rPr>
              <w:t>20</w:t>
            </w:r>
          </w:p>
        </w:tc>
        <w:tc>
          <w:tcPr>
            <w:tcW w:w="1663" w:type="dxa"/>
            <w:vAlign w:val="center"/>
          </w:tcPr>
          <w:p w14:paraId="608D11E5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16.34</w:t>
            </w:r>
          </w:p>
        </w:tc>
        <w:tc>
          <w:tcPr>
            <w:tcW w:w="2270" w:type="dxa"/>
            <w:vAlign w:val="center"/>
          </w:tcPr>
          <w:p w14:paraId="5441367D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81.70%</w:t>
            </w:r>
          </w:p>
        </w:tc>
      </w:tr>
      <w:tr w14:paraId="074C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377" w:type="pct"/>
            <w:vAlign w:val="center"/>
          </w:tcPr>
          <w:p w14:paraId="0F59F7C1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  <w:t>产出</w:t>
            </w:r>
          </w:p>
        </w:tc>
        <w:tc>
          <w:tcPr>
            <w:tcW w:w="1289" w:type="pct"/>
            <w:vAlign w:val="center"/>
          </w:tcPr>
          <w:p w14:paraId="3E85D9E8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</w:rPr>
              <w:t>40</w:t>
            </w:r>
          </w:p>
        </w:tc>
        <w:tc>
          <w:tcPr>
            <w:tcW w:w="1663" w:type="dxa"/>
            <w:vAlign w:val="center"/>
          </w:tcPr>
          <w:p w14:paraId="30C8D829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35.50</w:t>
            </w:r>
          </w:p>
        </w:tc>
        <w:tc>
          <w:tcPr>
            <w:tcW w:w="2270" w:type="dxa"/>
            <w:vAlign w:val="center"/>
          </w:tcPr>
          <w:p w14:paraId="5115B6CE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88.75%</w:t>
            </w:r>
          </w:p>
        </w:tc>
      </w:tr>
      <w:tr w14:paraId="4CCBB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377" w:type="pct"/>
            <w:vAlign w:val="center"/>
          </w:tcPr>
          <w:p w14:paraId="629C8EFF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  <w:lang w:eastAsia="zh-Hans"/>
              </w:rPr>
              <w:t>效益</w:t>
            </w:r>
          </w:p>
        </w:tc>
        <w:tc>
          <w:tcPr>
            <w:tcW w:w="1289" w:type="pct"/>
            <w:vAlign w:val="center"/>
          </w:tcPr>
          <w:p w14:paraId="21CB5272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sz w:val="24"/>
                <w:szCs w:val="24"/>
                <w:highlight w:val="none"/>
              </w:rPr>
            </w:pPr>
            <w:r>
              <w:rPr>
                <w:rFonts w:eastAsia="宋体" w:cs="Times New Roman"/>
                <w:sz w:val="24"/>
                <w:szCs w:val="24"/>
                <w:highlight w:val="none"/>
              </w:rPr>
              <w:t>30</w:t>
            </w:r>
          </w:p>
        </w:tc>
        <w:tc>
          <w:tcPr>
            <w:tcW w:w="1663" w:type="dxa"/>
            <w:vAlign w:val="center"/>
          </w:tcPr>
          <w:p w14:paraId="3447782A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25.14</w:t>
            </w:r>
          </w:p>
        </w:tc>
        <w:tc>
          <w:tcPr>
            <w:tcW w:w="2270" w:type="dxa"/>
            <w:vAlign w:val="center"/>
          </w:tcPr>
          <w:p w14:paraId="15D8E245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val="en-US" w:eastAsia="zh-CN"/>
              </w:rPr>
              <w:t>83.80%</w:t>
            </w:r>
          </w:p>
        </w:tc>
      </w:tr>
      <w:tr w14:paraId="3F5D9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377" w:type="pct"/>
            <w:vAlign w:val="center"/>
          </w:tcPr>
          <w:p w14:paraId="046DD8D6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</w:pPr>
            <w:r>
              <w:rPr>
                <w:rFonts w:eastAsia="宋体" w:cs="Times New Roman"/>
                <w:b/>
                <w:bCs/>
                <w:sz w:val="24"/>
                <w:szCs w:val="24"/>
                <w:highlight w:val="none"/>
                <w:lang w:eastAsia="zh-Hans"/>
              </w:rPr>
              <w:t>总分</w:t>
            </w:r>
          </w:p>
        </w:tc>
        <w:tc>
          <w:tcPr>
            <w:tcW w:w="1289" w:type="pct"/>
            <w:vAlign w:val="center"/>
          </w:tcPr>
          <w:p w14:paraId="078435AF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eastAsia="宋体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eastAsia="宋体" w:cs="Times New Roman"/>
                <w:b/>
                <w:bCs/>
                <w:sz w:val="24"/>
                <w:szCs w:val="24"/>
                <w:highlight w:val="none"/>
              </w:rPr>
              <w:t>100</w:t>
            </w:r>
          </w:p>
        </w:tc>
        <w:tc>
          <w:tcPr>
            <w:tcW w:w="1002" w:type="pct"/>
            <w:vAlign w:val="center"/>
          </w:tcPr>
          <w:p w14:paraId="7077EE85">
            <w:pPr>
              <w:pStyle w:val="19"/>
              <w:spacing w:after="0" w:line="240" w:lineRule="auto"/>
              <w:ind w:left="0" w:leftChars="0" w:firstLine="0" w:firstLineChars="0"/>
              <w:jc w:val="center"/>
              <w:rPr>
                <w:rFonts w:hint="default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84.48</w:t>
            </w:r>
          </w:p>
        </w:tc>
        <w:tc>
          <w:tcPr>
            <w:tcW w:w="2270" w:type="dxa"/>
            <w:vAlign w:val="center"/>
          </w:tcPr>
          <w:p w14:paraId="3B470A67">
            <w:pPr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highlight w:val="none"/>
                <w:lang w:val="en-US" w:eastAsia="zh-CN"/>
              </w:rPr>
              <w:t>84.48%</w:t>
            </w:r>
          </w:p>
        </w:tc>
      </w:tr>
    </w:tbl>
    <w:p w14:paraId="76ECA400">
      <w:pPr>
        <w:pStyle w:val="2"/>
        <w:spacing w:before="0" w:after="0" w:line="560" w:lineRule="exact"/>
        <w:rPr>
          <w:rFonts w:ascii="黑体" w:hAnsi="黑体" w:eastAsia="黑体" w:cs="宋体"/>
          <w:b w:val="0"/>
          <w:bCs/>
          <w:highlight w:val="none"/>
        </w:rPr>
      </w:pPr>
      <w:bookmarkStart w:id="52" w:name="_Toc257803501"/>
      <w:bookmarkStart w:id="53" w:name="_Toc36137500"/>
      <w:bookmarkStart w:id="54" w:name="_Toc1698488802"/>
      <w:r>
        <w:rPr>
          <w:rFonts w:hint="eastAsia" w:ascii="黑体" w:hAnsi="黑体" w:eastAsia="黑体" w:cs="宋体"/>
          <w:b w:val="0"/>
          <w:bCs/>
          <w:highlight w:val="none"/>
        </w:rPr>
        <w:t>四、绩效评价指标分析</w:t>
      </w:r>
      <w:bookmarkEnd w:id="52"/>
      <w:bookmarkEnd w:id="53"/>
      <w:bookmarkEnd w:id="54"/>
    </w:p>
    <w:p w14:paraId="455A3CEB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55" w:name="_Toc1175643"/>
      <w:bookmarkStart w:id="56" w:name="_Toc36137501"/>
      <w:bookmarkStart w:id="57" w:name="_Toc1428925308"/>
      <w:r>
        <w:rPr>
          <w:rFonts w:hint="eastAsia" w:ascii="楷体" w:hAnsi="楷体" w:eastAsia="楷体" w:cs="宋体"/>
          <w:highlight w:val="none"/>
        </w:rPr>
        <w:t>（一）项目决策情况</w:t>
      </w:r>
      <w:bookmarkEnd w:id="55"/>
      <w:bookmarkEnd w:id="56"/>
      <w:bookmarkEnd w:id="57"/>
    </w:p>
    <w:p w14:paraId="6B8BFAB6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</w:pPr>
      <w:bookmarkStart w:id="58" w:name="_Toc431679078"/>
      <w:r>
        <w:rPr>
          <w:rFonts w:hint="eastAsia" w:ascii="仿宋" w:hAnsi="仿宋" w:eastAsia="仿宋" w:cs="仿宋"/>
          <w:b/>
          <w:bCs w:val="0"/>
          <w:highlight w:val="none"/>
        </w:rPr>
        <w:t>1.</w:t>
      </w: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项目立项</w:t>
      </w:r>
      <w:bookmarkEnd w:id="58"/>
    </w:p>
    <w:p w14:paraId="6844D13B">
      <w:pPr>
        <w:spacing w:line="560" w:lineRule="exact"/>
        <w:ind w:firstLine="640" w:firstLineChars="200"/>
        <w:rPr>
          <w:rFonts w:hint="default" w:ascii="Times New Roman Regular" w:hAnsi="Times New Roman Regular" w:eastAsia="仿宋" w:cs="Times New Roman Regular"/>
          <w:bCs/>
          <w:highlight w:val="none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国际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顾问会创办于1999年，是由世界知名跨国企业最高决策人组成的辅政咨询平台，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秘书处设在北京市贸促会。国际顾问会成立初期每年召开一届，自2004年起改为每两年召开一届，第十五届国际顾问会于2022年召开，第十六届国际</w:t>
      </w:r>
      <w:r>
        <w:rPr>
          <w:rFonts w:hint="eastAsia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顾问会</w:t>
      </w:r>
      <w:r>
        <w:rPr>
          <w:rFonts w:hint="eastAsia" w:ascii="Times New Roman Regular" w:hAnsi="Times New Roman Regular" w:eastAsia="仿宋" w:cs="Times New Roman Regular"/>
          <w:bCs/>
          <w:strike w:val="0"/>
          <w:color w:val="auto"/>
          <w:highlight w:val="none"/>
          <w:lang w:val="en-US" w:eastAsia="zh-CN"/>
        </w:rPr>
        <w:t>于2024年在京举办</w:t>
      </w:r>
      <w:r>
        <w:rPr>
          <w:rFonts w:hint="default" w:ascii="Times New Roman Regular" w:hAnsi="Times New Roman Regular" w:eastAsia="仿宋" w:cs="Times New Roman Regular"/>
          <w:bCs/>
          <w:color w:val="auto"/>
          <w:highlight w:val="none"/>
        </w:rPr>
        <w:t>。</w:t>
      </w: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</w:rPr>
        <w:t>评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</w:rPr>
        <w:t>价认为，该项目立项符合北京市经济发展规划，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与北京市贸促会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</w:rPr>
        <w:t>部门职责相符，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立项依据充分，但个别资料不全面，立项程序规范性有待进一步提升。</w:t>
      </w:r>
    </w:p>
    <w:p w14:paraId="464A70CC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  <w:lang w:eastAsia="zh-CN"/>
        </w:rPr>
      </w:pPr>
      <w:bookmarkStart w:id="59" w:name="_Toc1030504380"/>
      <w:r>
        <w:rPr>
          <w:rFonts w:hint="eastAsia" w:ascii="仿宋" w:hAnsi="仿宋" w:eastAsia="仿宋" w:cs="仿宋"/>
          <w:b/>
          <w:bCs w:val="0"/>
          <w:highlight w:val="none"/>
        </w:rPr>
        <w:t>2.</w:t>
      </w: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绩效目标</w:t>
      </w:r>
      <w:bookmarkEnd w:id="59"/>
    </w:p>
    <w:p w14:paraId="0C298469">
      <w:pPr>
        <w:spacing w:line="560" w:lineRule="exact"/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>北京市贸促会按照预算绩效管理相关要求填写了“北京市市长国际企业家顾问会议”项目的绩效目标申报表，设置了项目的总体目标和反映预期产出及效果的具体指标。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>评价认为，一是绩效目标设置有待细化，项目产出及效益目标精准度有待提升，产出和效益指标的细化分解有待加强；二是质量指标可衡量性有待提升，个别指标设置较为宽泛，无法精确衡量；三是产出数量指标和质量指标的差异化</w:t>
      </w:r>
      <w:r>
        <w:rPr>
          <w:rFonts w:hint="eastAsia" w:ascii="仿宋" w:hAnsi="仿宋" w:eastAsia="仿宋" w:cs="仿宋"/>
          <w:b w:val="0"/>
          <w:bCs/>
          <w:color w:val="auto"/>
          <w:highlight w:val="none"/>
          <w:lang w:val="en-US" w:eastAsia="zh-CN"/>
        </w:rPr>
        <w:t>程度有待加强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个别指标存在重复考核风险</w:t>
      </w: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>。</w:t>
      </w:r>
    </w:p>
    <w:p w14:paraId="5441AD3B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</w:pPr>
      <w:bookmarkStart w:id="60" w:name="_Toc231501605"/>
      <w:r>
        <w:rPr>
          <w:rFonts w:hint="eastAsia" w:ascii="仿宋" w:hAnsi="仿宋" w:eastAsia="仿宋" w:cs="仿宋"/>
          <w:b/>
          <w:bCs w:val="0"/>
          <w:highlight w:val="none"/>
        </w:rPr>
        <w:t>3.</w:t>
      </w:r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资金投入</w:t>
      </w:r>
      <w:bookmarkEnd w:id="60"/>
    </w:p>
    <w:p w14:paraId="275C52F9">
      <w:pPr>
        <w:spacing w:line="560" w:lineRule="exact"/>
        <w:ind w:firstLine="640" w:firstLineChars="200"/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北京市贸促会申报第十六届国际顾问会议预算797.62万元，包括顾问会议正式会议、交流活动及专家评审三部分。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评价认为，2024年国际顾问会议正式会议资金投入，相比以往年增加幅度较大，项目预算编制的科学性、合理性有待加强。</w:t>
      </w:r>
    </w:p>
    <w:p w14:paraId="20C1038D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61" w:name="_Toc36137502"/>
      <w:bookmarkStart w:id="62" w:name="_Toc1754590518"/>
      <w:bookmarkStart w:id="63" w:name="_Toc638027155"/>
      <w:r>
        <w:rPr>
          <w:rFonts w:hint="eastAsia" w:ascii="楷体" w:hAnsi="楷体" w:eastAsia="楷体" w:cs="宋体"/>
          <w:highlight w:val="none"/>
        </w:rPr>
        <w:t>（二）项目过程情况</w:t>
      </w:r>
      <w:bookmarkEnd w:id="61"/>
      <w:bookmarkEnd w:id="62"/>
      <w:bookmarkEnd w:id="63"/>
    </w:p>
    <w:p w14:paraId="6932851D">
      <w:pPr>
        <w:spacing w:line="560" w:lineRule="exact"/>
        <w:outlineLvl w:val="2"/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</w:pPr>
      <w:bookmarkStart w:id="64" w:name="_Toc157395422"/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1.资金管理</w:t>
      </w:r>
      <w:bookmarkEnd w:id="64"/>
    </w:p>
    <w:p w14:paraId="138709BB">
      <w:pPr>
        <w:spacing w:line="560" w:lineRule="exact"/>
        <w:ind w:firstLine="640" w:firstLineChars="200"/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Cs/>
          <w:highlight w:val="none"/>
        </w:rPr>
        <w:t>本项目年初预算批复金额为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797.62万元，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经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预算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评审确定项目金额为783</w:t>
      </w:r>
      <w:r>
        <w:rPr>
          <w:rFonts w:hint="default" w:ascii="Times New Roman Regular" w:hAnsi="Times New Roman Regular" w:eastAsia="仿宋" w:cs="Times New Roman Regular"/>
          <w:bCs/>
          <w:highlight w:val="none"/>
          <w:lang w:val="en-US"/>
        </w:rPr>
        <w:t>.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5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9</w:t>
      </w:r>
      <w:r>
        <w:rPr>
          <w:rFonts w:hint="default" w:ascii="Times New Roman Regular" w:hAnsi="Times New Roman Regular" w:eastAsia="仿宋" w:cs="Times New Roman Regular"/>
          <w:bCs/>
          <w:highlight w:val="none"/>
        </w:rPr>
        <w:t>万元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eastAsia="zh-CN"/>
        </w:rPr>
        <w:t>，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截至2024年12月31日，实际支出745.19万元，预算执行率为95.10%。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评价认为，资金使用与管理方面主要存在以下问题：</w:t>
      </w:r>
    </w:p>
    <w:p w14:paraId="51CD1E2A">
      <w:pPr>
        <w:spacing w:line="560" w:lineRule="exact"/>
        <w:ind w:firstLine="643" w:firstLineChars="200"/>
        <w:rPr>
          <w:rFonts w:hint="default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 w:val="0"/>
          <w:color w:val="auto"/>
          <w:highlight w:val="none"/>
          <w:lang w:val="en-US" w:eastAsia="zh-CN"/>
        </w:rPr>
        <w:t>一是</w:t>
      </w:r>
      <w:r>
        <w:rPr>
          <w:rFonts w:hint="eastAsia" w:ascii="Times New Roman Regular" w:hAnsi="Times New Roman Regular" w:eastAsia="仿宋" w:cs="Times New Roman Regular"/>
          <w:b/>
          <w:bCs w:val="0"/>
          <w:strike w:val="0"/>
          <w:color w:val="auto"/>
          <w:highlight w:val="none"/>
          <w:lang w:val="en-US" w:eastAsia="zh-CN"/>
        </w:rPr>
        <w:t>采购工作规范度有待提升。</w:t>
      </w:r>
      <w:r>
        <w:rPr>
          <w:rFonts w:hint="eastAsia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对属于政府集采目录范围内的有关品目，落实政府采购相关规定程序不够严谨细致。</w:t>
      </w:r>
    </w:p>
    <w:p w14:paraId="2FF31A9A">
      <w:pPr>
        <w:spacing w:line="560" w:lineRule="exact"/>
        <w:ind w:firstLine="643" w:firstLineChars="200"/>
        <w:rPr>
          <w:rFonts w:hint="default" w:ascii="Times New Roman Regular" w:hAnsi="Times New Roman Regular" w:eastAsia="仿宋" w:cs="Times New Roman Regular"/>
          <w:bCs/>
          <w:highlight w:val="yellow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/>
          <w:bCs w:val="0"/>
          <w:color w:val="auto"/>
          <w:highlight w:val="none"/>
          <w:lang w:val="en-US" w:eastAsia="zh-CN"/>
        </w:rPr>
        <w:t>二是</w:t>
      </w:r>
      <w:r>
        <w:rPr>
          <w:rFonts w:hint="eastAsia" w:ascii="Times New Roman Regular" w:hAnsi="Times New Roman Regular" w:eastAsia="仿宋" w:cs="Times New Roman Regular"/>
          <w:b/>
          <w:bCs w:val="0"/>
          <w:strike w:val="0"/>
          <w:color w:val="auto"/>
          <w:highlight w:val="none"/>
          <w:lang w:val="en-US" w:eastAsia="zh-CN"/>
        </w:rPr>
        <w:t>合同管理有效性有待提升</w:t>
      </w:r>
      <w:r>
        <w:rPr>
          <w:rFonts w:hint="eastAsia" w:ascii="Times New Roman Regular" w:hAnsi="Times New Roman Regular" w:eastAsia="仿宋" w:cs="Times New Roman Regular"/>
          <w:b/>
          <w:bCs w:val="0"/>
          <w:color w:val="auto"/>
          <w:highlight w:val="none"/>
          <w:lang w:val="en-US" w:eastAsia="zh-CN"/>
        </w:rPr>
        <w:t>。</w:t>
      </w: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项目个别合同首付款比例过高，且未明确在验收合格后支出，仅在完成全部服务内容后支出尾款欠妥。</w:t>
      </w:r>
    </w:p>
    <w:p w14:paraId="66ED1EFD">
      <w:pPr>
        <w:spacing w:line="560" w:lineRule="exact"/>
        <w:outlineLvl w:val="2"/>
        <w:rPr>
          <w:highlight w:val="none"/>
        </w:rPr>
      </w:pPr>
      <w:bookmarkStart w:id="65" w:name="_Toc1792488097"/>
      <w:r>
        <w:rPr>
          <w:rFonts w:hint="eastAsia" w:ascii="仿宋" w:hAnsi="仿宋" w:eastAsia="仿宋" w:cs="仿宋"/>
          <w:b/>
          <w:bCs w:val="0"/>
          <w:highlight w:val="none"/>
          <w:lang w:val="en-US" w:eastAsia="zh-CN"/>
        </w:rPr>
        <w:t>2.组织实施</w:t>
      </w:r>
      <w:bookmarkEnd w:id="65"/>
    </w:p>
    <w:p w14:paraId="54A121C8">
      <w:pPr>
        <w:widowControl/>
        <w:snapToGrid w:val="0"/>
        <w:spacing w:beforeLines="0" w:line="560" w:lineRule="exact"/>
        <w:ind w:firstLine="707" w:firstLineChars="221"/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32"/>
          <w:szCs w:val="32"/>
          <w:highlight w:val="none"/>
          <w:lang w:val="en-US" w:eastAsia="zh-CN"/>
        </w:rPr>
        <w:t>根据项目整体方案，</w:t>
      </w:r>
      <w:r>
        <w:rPr>
          <w:rFonts w:hint="eastAsia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各相关部门按照分工开展实施。</w:t>
      </w: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评价认为，项目组织管理有待加强，主要存在以下问题：</w:t>
      </w:r>
    </w:p>
    <w:p w14:paraId="62D2A6E7">
      <w:pPr>
        <w:widowControl/>
        <w:snapToGrid w:val="0"/>
        <w:spacing w:beforeLines="0" w:line="560" w:lineRule="exact"/>
        <w:ind w:firstLine="707" w:firstLineChars="221"/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 w:val="0"/>
          <w:bCs/>
          <w:color w:val="auto"/>
          <w:highlight w:val="none"/>
          <w:lang w:val="en-US" w:eastAsia="zh-CN"/>
        </w:rPr>
        <w:t>一是项目整体方案内容全面性有待提升。项目组织实施的职责分工有待加强，</w:t>
      </w:r>
      <w:r>
        <w:rPr>
          <w:rFonts w:hint="eastAsia" w:ascii="Times New Roman Regular" w:hAnsi="Times New Roman Regular" w:eastAsia="仿宋" w:cs="Times New Roman Regular"/>
          <w:bCs/>
          <w:color w:val="auto"/>
          <w:highlight w:val="none"/>
          <w:lang w:val="en-US" w:eastAsia="zh-CN"/>
        </w:rPr>
        <w:t>过程管理、风险防控措施等内容不全面，整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体方案的指导性有待提升。</w:t>
      </w:r>
    </w:p>
    <w:p w14:paraId="3C80A9AF">
      <w:pPr>
        <w:widowControl/>
        <w:snapToGrid w:val="0"/>
        <w:spacing w:beforeLines="0" w:line="560" w:lineRule="exact"/>
        <w:ind w:firstLine="707" w:firstLineChars="221"/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二是过程管理有效性待提升。过程管理流程资料不完整，策划设计、宣传等个别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服务的监管资料不全面。</w:t>
      </w:r>
    </w:p>
    <w:p w14:paraId="40FFF8AF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66" w:name="_Toc36137503"/>
      <w:bookmarkStart w:id="67" w:name="_Toc936544614"/>
      <w:bookmarkStart w:id="68" w:name="_Toc1446846163"/>
      <w:r>
        <w:rPr>
          <w:rFonts w:hint="eastAsia" w:ascii="楷体" w:hAnsi="楷体" w:eastAsia="楷体" w:cs="宋体"/>
          <w:highlight w:val="none"/>
        </w:rPr>
        <w:t>（三）项目产出情况</w:t>
      </w:r>
      <w:bookmarkEnd w:id="66"/>
      <w:bookmarkEnd w:id="67"/>
      <w:bookmarkEnd w:id="68"/>
    </w:p>
    <w:p w14:paraId="2C3F3FE8">
      <w:pPr>
        <w:spacing w:line="560" w:lineRule="exact"/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highlight w:val="none"/>
          <w:lang w:val="en-US" w:eastAsia="zh-CN"/>
        </w:rPr>
        <w:t>1.产出数量。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该项目于2024年3月21日-22日，成功举办国际顾问会议，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安排参观考察、合影会见、圆桌会议、闭门会议</w:t>
      </w:r>
      <w:r>
        <w:rPr>
          <w:rFonts w:hint="eastAsia" w:hAnsi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6场活动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，汇编顾问报告33份。会议相关策划设计、场地搭建、会务保障等工作成果数量达到合同约定要求。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评价认为，产出数量目标完成较好，但日常举办的交流活动策划设计、场地搭建等成果资料不全面</w:t>
      </w:r>
      <w:r>
        <w:rPr>
          <w:rFonts w:hint="default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。</w:t>
      </w:r>
    </w:p>
    <w:p w14:paraId="3D904E8C">
      <w:pPr>
        <w:spacing w:line="560" w:lineRule="exact"/>
        <w:ind w:firstLine="643"/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highlight w:val="none"/>
          <w:lang w:val="en-US" w:eastAsia="zh-CN"/>
        </w:rPr>
        <w:t>2.产出质量。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项目会议主题围绕“以高水平国际合作增强经济发展动力”和“以绿色可持续发展共筑宜居智慧城市”，与北京市发展相关。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评价认为，项目相关工作质量要求精确性有待强化。</w:t>
      </w:r>
    </w:p>
    <w:p w14:paraId="1E66EB73">
      <w:pPr>
        <w:spacing w:line="560" w:lineRule="exact"/>
        <w:rPr>
          <w:rFonts w:hint="eastAsia" w:ascii="仿宋_GB2312" w:hAnsi="&amp;Euml" w:eastAsia="仿宋_GB2312" w:cstheme="minorBidi"/>
          <w:b w:val="0"/>
          <w:bCs w:val="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highlight w:val="none"/>
          <w:lang w:val="en-US" w:eastAsia="zh-CN"/>
        </w:rPr>
        <w:t>3.产出时效。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2023年11月23日，北京市贸促会秘书处召开第一次筹备工作会议，布置第十六届国际顾问会相关安排；2024年3月1日召开第二次筹备工作会议，向顾问单位驻京机构代表介绍会议筹备进展及现场工作流程安排；2024年3月22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  <w:t>举行圆桌会议和闭门会议</w:t>
      </w:r>
      <w:r>
        <w:rPr>
          <w:rFonts w:hint="eastAsia" w:ascii="仿宋_GB2312" w:hAnsi="&amp;Euml" w:eastAsia="仿宋_GB2312" w:cstheme="minorBidi"/>
          <w:b w:val="0"/>
          <w:bCs w:val="0"/>
          <w:sz w:val="32"/>
          <w:szCs w:val="32"/>
          <w:highlight w:val="none"/>
          <w:lang w:val="en-US" w:eastAsia="zh-CN"/>
        </w:rPr>
        <w:t>。评价认为，会议各项工作基本按照方案预期时间有序推进。</w:t>
      </w:r>
    </w:p>
    <w:p w14:paraId="41A2F023">
      <w:pPr>
        <w:spacing w:line="560" w:lineRule="exact"/>
        <w:rPr>
          <w:rFonts w:hint="eastAsia"/>
          <w:b/>
          <w:bCs/>
          <w:highlight w:val="yellow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4.产出成本。</w:t>
      </w:r>
      <w:r>
        <w:rPr>
          <w:rFonts w:hint="eastAsia"/>
          <w:b w:val="0"/>
          <w:bCs w:val="0"/>
          <w:highlight w:val="none"/>
          <w:lang w:val="en-US" w:eastAsia="zh-CN"/>
        </w:rPr>
        <w:t>项目预算未超出财政批复预算范围，开展了预算评审，一定程度上控制了项目投入成本，但是成本控制有效性仍有待提升。</w:t>
      </w:r>
    </w:p>
    <w:p w14:paraId="13D90200">
      <w:pPr>
        <w:pStyle w:val="3"/>
        <w:spacing w:before="0" w:after="0" w:line="560" w:lineRule="exact"/>
        <w:rPr>
          <w:rFonts w:ascii="楷体" w:hAnsi="楷体" w:eastAsia="楷体" w:cs="宋体"/>
          <w:highlight w:val="none"/>
        </w:rPr>
      </w:pPr>
      <w:bookmarkStart w:id="69" w:name="_Toc1597678635"/>
      <w:bookmarkStart w:id="70" w:name="_Toc36137504"/>
      <w:bookmarkStart w:id="71" w:name="_Toc1186126560"/>
      <w:r>
        <w:rPr>
          <w:rFonts w:hint="eastAsia" w:ascii="楷体" w:hAnsi="楷体" w:eastAsia="楷体" w:cs="宋体"/>
          <w:highlight w:val="none"/>
        </w:rPr>
        <w:t>（四）项目效益情况</w:t>
      </w:r>
      <w:bookmarkEnd w:id="69"/>
      <w:bookmarkEnd w:id="70"/>
      <w:bookmarkEnd w:id="71"/>
    </w:p>
    <w:p w14:paraId="183DC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Times New Roman Regular" w:hAnsi="Times New Roman Regular" w:eastAsia="仿宋" w:cs="Times New Roman Regular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highlight w:val="none"/>
          <w:lang w:val="en-US" w:eastAsia="zh-CN"/>
        </w:rPr>
        <w:t>1.社会效益。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本项目围绕“以高水平国际合作增强经济发展动力”和“以绿色可持续发展共筑美好未来”两项议题及8个子议题，契合国际发展趋势、北京市发展重点和企业关注，体现了开放性、专业性和务实性。会前，秘书处提炼122条建议要点，分送全市</w:t>
      </w:r>
      <w:r>
        <w:rPr>
          <w:rFonts w:hint="eastAsia" w:ascii="Times New Roman Regular" w:hAnsi="Times New Roman Regular" w:eastAsia="仿宋" w:cs="Times New Roman Regular"/>
          <w:bCs/>
          <w:strike w:val="0"/>
          <w:color w:val="auto"/>
          <w:highlight w:val="none"/>
          <w:lang w:val="en-US" w:eastAsia="zh-CN"/>
        </w:rPr>
        <w:t>相关单位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征求反馈意见，促使现场互动更具针对性和实效性。会议链接国际优质资源，顾问单位代表现场对接，促进建议落实和交流合作。会后，设置闭门会议环节，进行小范围、深层次对话交流，增强会议效果。评价认为，该项目实施有利于推进北京城市发展，但关于顾问建议落实相关资料不够全面充分，效益目标实现情况体现有待提升。</w:t>
      </w:r>
    </w:p>
    <w:p w14:paraId="474BA8C4">
      <w:pPr>
        <w:spacing w:line="560" w:lineRule="exact"/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highlight w:val="none"/>
          <w:lang w:val="en-US" w:eastAsia="zh-CN"/>
        </w:rPr>
        <w:t>2.满意度</w:t>
      </w:r>
      <w:r>
        <w:rPr>
          <w:rFonts w:hint="eastAsia"/>
          <w:b/>
          <w:bCs/>
          <w:highlight w:val="none"/>
          <w:lang w:eastAsia="zh-CN"/>
        </w:rPr>
        <w:t>。</w:t>
      </w:r>
      <w:r>
        <w:rPr>
          <w:rFonts w:hint="eastAsia" w:ascii="Times New Roman Regular" w:hAnsi="Times New Roman Regular" w:eastAsia="仿宋" w:cs="Times New Roman Regular"/>
          <w:bCs/>
          <w:highlight w:val="none"/>
          <w:lang w:val="en-US" w:eastAsia="zh-CN"/>
        </w:rPr>
        <w:t>项目单位收到感谢信48封，秘书处日常工作及服务满意度调查21条，主要从组织策划、活动形式和活动意义三个方面对北京市贸促会的工作作出评价。</w:t>
      </w:r>
      <w:r>
        <w:rPr>
          <w:rFonts w:hint="eastAsia" w:ascii="Times New Roman Regular" w:hAnsi="Times New Roman Regular" w:eastAsia="仿宋" w:cs="Times New Roman Regular"/>
          <w:b w:val="0"/>
          <w:bCs/>
          <w:highlight w:val="none"/>
          <w:lang w:val="en-US" w:eastAsia="zh-CN"/>
        </w:rPr>
        <w:t>评价认为，参与者整体满意度较高，但满意度调查对象范围较广，调查样本量较小，缺少对调查结果的整理和分析，不利于结果应用。</w:t>
      </w:r>
    </w:p>
    <w:p w14:paraId="7C69BC63">
      <w:pPr>
        <w:pStyle w:val="2"/>
        <w:spacing w:before="0" w:after="0" w:line="560" w:lineRule="exact"/>
        <w:rPr>
          <w:rFonts w:ascii="黑体" w:hAnsi="黑体" w:eastAsia="黑体" w:cs="宋体"/>
          <w:b w:val="0"/>
          <w:bCs/>
          <w:highlight w:val="none"/>
        </w:rPr>
      </w:pPr>
      <w:bookmarkStart w:id="72" w:name="_Toc138398819"/>
      <w:bookmarkStart w:id="73" w:name="_Toc36137505"/>
      <w:bookmarkStart w:id="74" w:name="_Toc49296357"/>
      <w:r>
        <w:rPr>
          <w:rFonts w:hint="eastAsia" w:ascii="黑体" w:hAnsi="黑体" w:eastAsia="黑体" w:cs="宋体"/>
          <w:b w:val="0"/>
          <w:bCs/>
          <w:highlight w:val="none"/>
        </w:rPr>
        <w:t>五、存在的问题</w:t>
      </w:r>
      <w:bookmarkEnd w:id="72"/>
      <w:bookmarkEnd w:id="73"/>
      <w:bookmarkEnd w:id="74"/>
    </w:p>
    <w:p w14:paraId="4589E4C3">
      <w:pPr>
        <w:pStyle w:val="3"/>
        <w:spacing w:before="0" w:after="0" w:line="560" w:lineRule="exact"/>
        <w:rPr>
          <w:rFonts w:hint="eastAsia" w:ascii="楷体" w:hAnsi="楷体" w:eastAsia="楷体" w:cs="宋体"/>
          <w:highlight w:val="none"/>
          <w:lang w:val="en-US" w:eastAsia="zh-CN"/>
        </w:rPr>
      </w:pPr>
      <w:bookmarkStart w:id="75" w:name="_Toc344161232"/>
      <w:bookmarkStart w:id="76" w:name="_Toc1742668004"/>
      <w:r>
        <w:rPr>
          <w:rFonts w:hint="eastAsia" w:ascii="楷体" w:hAnsi="楷体" w:eastAsia="楷体" w:cs="宋体"/>
          <w:highlight w:val="none"/>
          <w:lang w:val="en-US" w:eastAsia="zh-CN"/>
        </w:rPr>
        <w:t>（一）项目绩效目标设置合理性和明确性</w:t>
      </w:r>
      <w:bookmarkEnd w:id="75"/>
      <w:r>
        <w:rPr>
          <w:rFonts w:hint="eastAsia" w:ascii="楷体" w:hAnsi="楷体" w:eastAsia="楷体" w:cs="宋体"/>
          <w:highlight w:val="none"/>
          <w:lang w:val="en-US" w:eastAsia="zh-CN"/>
        </w:rPr>
        <w:t>有待提升</w:t>
      </w:r>
    </w:p>
    <w:p w14:paraId="420BE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highlight w:val="none"/>
          <w:lang w:val="en-US" w:eastAsia="zh-CN"/>
        </w:rPr>
        <w:t>项目绩效目标设置有待细化，项目产出及效益目标精准度有待提升；产出数量指标和质量指标的差异化程度有待加强，个别指标存在重复考核风险；质量指标可衡量性有待提升，个别指标设置较为宽泛，无法精确衡量。</w:t>
      </w:r>
    </w:p>
    <w:p w14:paraId="14A17DE9">
      <w:pPr>
        <w:pStyle w:val="3"/>
        <w:keepNext w:val="0"/>
        <w:keepLines w:val="0"/>
        <w:spacing w:before="0" w:after="0" w:line="560" w:lineRule="exact"/>
        <w:rPr>
          <w:rFonts w:hint="default" w:ascii="楷体" w:hAnsi="楷体" w:eastAsia="楷体" w:cs="宋体"/>
          <w:highlight w:val="none"/>
          <w:lang w:val="en-US" w:eastAsia="zh-CN"/>
        </w:rPr>
      </w:pPr>
      <w:bookmarkStart w:id="77" w:name="_Toc1144364853"/>
      <w:r>
        <w:rPr>
          <w:rFonts w:hint="eastAsia" w:ascii="楷体" w:hAnsi="楷体" w:eastAsia="楷体" w:cs="宋体"/>
          <w:highlight w:val="none"/>
          <w:lang w:val="en-US" w:eastAsia="zh-CN"/>
        </w:rPr>
        <w:t>（二）预算编制科学性、资金使用规范性待提升</w:t>
      </w:r>
      <w:bookmarkEnd w:id="77"/>
    </w:p>
    <w:p w14:paraId="5989B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left"/>
        <w:textAlignment w:val="auto"/>
        <w:rPr>
          <w:rFonts w:hint="eastAsia"/>
          <w:highlight w:val="yellow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一是</w:t>
      </w:r>
      <w:r>
        <w:rPr>
          <w:rFonts w:hint="eastAsia"/>
          <w:highlight w:val="none"/>
          <w:lang w:val="en-US" w:eastAsia="zh-CN"/>
        </w:rPr>
        <w:t>项目预算编制的合理性和科学性</w:t>
      </w:r>
      <w:r>
        <w:rPr>
          <w:rFonts w:hint="eastAsia"/>
          <w:color w:val="auto"/>
          <w:highlight w:val="none"/>
          <w:lang w:val="en-US" w:eastAsia="zh-CN"/>
        </w:rPr>
        <w:t>有待加强，</w:t>
      </w:r>
      <w:r>
        <w:rPr>
          <w:rFonts w:hint="eastAsia"/>
          <w:color w:val="auto"/>
          <w:highlight w:val="none"/>
        </w:rPr>
        <w:t>2024年国际顾问会议正式会议资金投入，相比以往年增加幅度较大，</w:t>
      </w:r>
      <w:r>
        <w:rPr>
          <w:rFonts w:hint="eastAsia"/>
          <w:color w:val="auto"/>
          <w:highlight w:val="none"/>
          <w:lang w:eastAsia="zh-CN"/>
        </w:rPr>
        <w:t>需进一步提升</w:t>
      </w:r>
      <w:r>
        <w:rPr>
          <w:rFonts w:hint="eastAsia"/>
          <w:color w:val="auto"/>
          <w:highlight w:val="none"/>
        </w:rPr>
        <w:t>项目预算的科学性、合理性</w:t>
      </w:r>
      <w:r>
        <w:rPr>
          <w:rFonts w:hint="eastAsia" w:ascii="Times New Roman Regular" w:hAnsi="Times New Roman Regular" w:eastAsia="仿宋" w:cs="Times New Roman Regular"/>
          <w:b w:val="0"/>
          <w:bCs w:val="0"/>
          <w:color w:val="auto"/>
          <w:highlight w:val="none"/>
          <w:lang w:val="en-US" w:eastAsia="zh-CN"/>
        </w:rPr>
        <w:t>。</w:t>
      </w:r>
      <w:r>
        <w:rPr>
          <w:rFonts w:hint="eastAsia"/>
          <w:b/>
          <w:bCs/>
          <w:color w:val="auto"/>
          <w:highlight w:val="none"/>
          <w:lang w:val="en-US" w:eastAsia="zh-CN"/>
        </w:rPr>
        <w:t>二是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采购工作规范度有待提升，对属于政府集采目录范围内的有关品目，落实政府采购相关规定程序严谨细致度还需加强。</w:t>
      </w:r>
      <w:r>
        <w:rPr>
          <w:rFonts w:hint="eastAsia"/>
          <w:b/>
          <w:bCs/>
          <w:highlight w:val="none"/>
          <w:lang w:val="en-US" w:eastAsia="zh-CN"/>
        </w:rPr>
        <w:t>三是</w:t>
      </w:r>
      <w:r>
        <w:rPr>
          <w:rFonts w:hint="eastAsia"/>
          <w:highlight w:val="none"/>
          <w:lang w:val="en-US" w:eastAsia="zh-CN"/>
        </w:rPr>
        <w:t>合同管理有效性待提升，</w:t>
      </w:r>
      <w:r>
        <w:rPr>
          <w:rFonts w:hint="eastAsia"/>
          <w:color w:val="auto"/>
          <w:highlight w:val="none"/>
          <w:lang w:val="en-US" w:eastAsia="zh-CN"/>
        </w:rPr>
        <w:t>个别合同</w:t>
      </w:r>
      <w:r>
        <w:rPr>
          <w:rFonts w:hint="eastAsia"/>
          <w:highlight w:val="none"/>
          <w:lang w:val="en-US" w:eastAsia="zh-CN"/>
        </w:rPr>
        <w:t>首款支付比例较高，存在资金支出风险。</w:t>
      </w:r>
    </w:p>
    <w:p w14:paraId="185FC0C8">
      <w:pPr>
        <w:pStyle w:val="3"/>
        <w:spacing w:before="0" w:after="0" w:line="560" w:lineRule="exact"/>
        <w:rPr>
          <w:rFonts w:hint="default" w:ascii="楷体" w:hAnsi="楷体" w:eastAsia="楷体" w:cs="宋体"/>
          <w:highlight w:val="none"/>
          <w:lang w:val="en-US" w:eastAsia="zh-CN"/>
        </w:rPr>
      </w:pPr>
      <w:bookmarkStart w:id="78" w:name="_Toc476541839"/>
      <w:r>
        <w:rPr>
          <w:rFonts w:hint="eastAsia" w:ascii="楷体" w:hAnsi="楷体" w:eastAsia="楷体" w:cs="宋体"/>
          <w:highlight w:val="none"/>
          <w:lang w:val="en-US" w:eastAsia="zh-CN"/>
        </w:rPr>
        <w:t>（三）项目整体实施方案不完善，管理有效性待提升</w:t>
      </w:r>
      <w:bookmarkEnd w:id="78"/>
    </w:p>
    <w:p w14:paraId="690AC8BE">
      <w:pPr>
        <w:spacing w:line="560" w:lineRule="exact"/>
        <w:outlineLvl w:val="9"/>
        <w:rPr>
          <w:rFonts w:hint="eastAsia" w:ascii="黑体" w:hAnsi="黑体" w:eastAsia="仿宋_GB2312" w:cs="宋体"/>
          <w:b w:val="0"/>
          <w:bCs/>
          <w:highlight w:val="none"/>
          <w:lang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一是</w:t>
      </w:r>
      <w:r>
        <w:rPr>
          <w:rFonts w:hint="default"/>
          <w:highlight w:val="none"/>
          <w:lang w:val="en-US" w:eastAsia="zh-CN"/>
        </w:rPr>
        <w:t>项目</w:t>
      </w:r>
      <w:r>
        <w:rPr>
          <w:rFonts w:hint="eastAsia"/>
          <w:highlight w:val="none"/>
          <w:lang w:val="en-US" w:eastAsia="zh-CN"/>
        </w:rPr>
        <w:t>整体</w:t>
      </w:r>
      <w:bookmarkStart w:id="85" w:name="_GoBack"/>
      <w:r>
        <w:rPr>
          <w:rFonts w:hint="default"/>
          <w:highlight w:val="none"/>
          <w:lang w:val="en-US" w:eastAsia="zh-CN"/>
        </w:rPr>
        <w:t>方案</w:t>
      </w:r>
      <w:r>
        <w:rPr>
          <w:rFonts w:hint="eastAsia"/>
          <w:highlight w:val="none"/>
          <w:lang w:val="en-US" w:eastAsia="zh-CN"/>
        </w:rPr>
        <w:t>内容全面性有待提升，对项目组织管理、风险防控等方面的指导约束有待加强。</w:t>
      </w:r>
      <w:r>
        <w:rPr>
          <w:rFonts w:hint="eastAsia"/>
          <w:b/>
          <w:bCs/>
          <w:highlight w:val="none"/>
          <w:lang w:val="en-US" w:eastAsia="zh-CN"/>
        </w:rPr>
        <w:t>二是</w:t>
      </w:r>
      <w:r>
        <w:rPr>
          <w:rFonts w:hint="eastAsia"/>
          <w:highlight w:val="none"/>
          <w:lang w:val="en-US" w:eastAsia="zh-CN"/>
        </w:rPr>
        <w:t>过程管理有效性待提升。</w:t>
      </w:r>
      <w:r>
        <w:rPr>
          <w:rFonts w:hint="eastAsia"/>
          <w:highlight w:val="none"/>
        </w:rPr>
        <w:t>过程管理</w:t>
      </w:r>
      <w:r>
        <w:rPr>
          <w:rFonts w:hint="eastAsia"/>
          <w:highlight w:val="none"/>
          <w:lang w:eastAsia="zh-CN"/>
        </w:rPr>
        <w:t>流程</w:t>
      </w:r>
      <w:r>
        <w:rPr>
          <w:rFonts w:hint="eastAsia"/>
          <w:highlight w:val="none"/>
        </w:rPr>
        <w:t>资料不完整，策划设计、宣传等个别服务的监管资料不全面</w:t>
      </w:r>
      <w:bookmarkEnd w:id="76"/>
      <w:bookmarkStart w:id="79" w:name="_Toc36137508"/>
      <w:bookmarkStart w:id="80" w:name="_Toc1377386246"/>
      <w:r>
        <w:rPr>
          <w:rFonts w:hint="eastAsia"/>
          <w:highlight w:val="none"/>
          <w:lang w:eastAsia="zh-CN"/>
        </w:rPr>
        <w:t>。</w:t>
      </w:r>
    </w:p>
    <w:p w14:paraId="0E6F9818">
      <w:pPr>
        <w:pStyle w:val="2"/>
        <w:spacing w:before="0" w:after="0" w:line="560" w:lineRule="exact"/>
        <w:rPr>
          <w:rFonts w:hint="eastAsia" w:ascii="黑体" w:hAnsi="黑体" w:eastAsia="黑体" w:cs="宋体"/>
          <w:b w:val="0"/>
          <w:bCs/>
          <w:highlight w:val="none"/>
          <w:lang w:val="en-US" w:eastAsia="zh-CN"/>
        </w:rPr>
      </w:pPr>
      <w:bookmarkStart w:id="81" w:name="_Toc1272168410"/>
      <w:r>
        <w:rPr>
          <w:rFonts w:hint="eastAsia" w:ascii="黑体" w:hAnsi="黑体" w:eastAsia="黑体" w:cs="宋体"/>
          <w:b w:val="0"/>
          <w:bCs/>
          <w:highlight w:val="none"/>
        </w:rPr>
        <w:t>六、</w:t>
      </w:r>
      <w:bookmarkEnd w:id="79"/>
      <w:r>
        <w:rPr>
          <w:rFonts w:hint="eastAsia" w:ascii="黑体" w:hAnsi="黑体" w:eastAsia="黑体" w:cs="宋体"/>
          <w:b w:val="0"/>
          <w:bCs/>
          <w:highlight w:val="none"/>
          <w:lang w:val="en-US" w:eastAsia="zh-CN"/>
        </w:rPr>
        <w:t>改进措施和建议</w:t>
      </w:r>
      <w:bookmarkEnd w:id="80"/>
      <w:bookmarkEnd w:id="81"/>
    </w:p>
    <w:bookmarkEnd w:id="85"/>
    <w:p w14:paraId="1B7BE444">
      <w:pPr>
        <w:pStyle w:val="3"/>
        <w:spacing w:before="0" w:after="0" w:line="560" w:lineRule="exact"/>
        <w:rPr>
          <w:rFonts w:hint="default" w:ascii="仿宋" w:hAnsi="仿宋" w:eastAsia="仿宋" w:cs="仿宋"/>
          <w:bCs/>
          <w:highlight w:val="none"/>
          <w:lang w:val="en-US"/>
        </w:rPr>
      </w:pPr>
      <w:bookmarkStart w:id="82" w:name="_Toc987277338"/>
      <w:r>
        <w:rPr>
          <w:rFonts w:hint="eastAsia" w:ascii="楷体" w:hAnsi="楷体" w:eastAsia="楷体" w:cs="宋体"/>
          <w:highlight w:val="none"/>
          <w:lang w:val="en-US" w:eastAsia="zh-CN"/>
        </w:rPr>
        <w:t>（一）增强绩效管理意识，提高绩效目标填报质量</w:t>
      </w:r>
      <w:bookmarkEnd w:id="82"/>
    </w:p>
    <w:p w14:paraId="16D5ABA3">
      <w:pPr>
        <w:spacing w:line="560" w:lineRule="exact"/>
        <w:rPr>
          <w:rFonts w:hint="default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>建议项目单位规范填报项目绩效目标申报表，为项目绩效管理奠定基础。合理设置项目的总体目标，对项目总体目标进行细化分解，概括、提炼量化、可衡量的核心产出和效益指标。该项目为延续性项目，建议项目单位对以往年度项目实施效果进行充分总结和分析，进而设置科学、合理的绩效指标，有效指导和约束以后年度资金使用和项目执行。</w:t>
      </w:r>
    </w:p>
    <w:p w14:paraId="605F7268">
      <w:pPr>
        <w:pStyle w:val="3"/>
        <w:spacing w:before="0" w:after="0" w:line="560" w:lineRule="exact"/>
        <w:rPr>
          <w:rFonts w:hint="eastAsia" w:ascii="楷体" w:hAnsi="楷体" w:eastAsia="楷体" w:cs="宋体"/>
          <w:highlight w:val="none"/>
          <w:lang w:val="en-US" w:eastAsia="zh-CN"/>
        </w:rPr>
      </w:pPr>
      <w:bookmarkStart w:id="83" w:name="_Toc1711563044"/>
      <w:r>
        <w:rPr>
          <w:rFonts w:hint="eastAsia" w:ascii="楷体" w:hAnsi="楷体" w:eastAsia="楷体" w:cs="宋体"/>
          <w:highlight w:val="none"/>
          <w:lang w:val="en-US" w:eastAsia="zh-CN"/>
        </w:rPr>
        <w:t>（二）优化预算编制的科学性，规范资金执行</w:t>
      </w:r>
      <w:bookmarkEnd w:id="83"/>
    </w:p>
    <w:p w14:paraId="6BD85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一是</w:t>
      </w:r>
      <w:r>
        <w:rPr>
          <w:rFonts w:hint="eastAsia"/>
          <w:b w:val="0"/>
          <w:bCs w:val="0"/>
          <w:highlight w:val="none"/>
          <w:lang w:val="en-US" w:eastAsia="zh-CN"/>
        </w:rPr>
        <w:t>建议项目单位</w:t>
      </w:r>
      <w:r>
        <w:rPr>
          <w:rFonts w:hint="default"/>
          <w:b w:val="0"/>
          <w:bCs w:val="0"/>
          <w:highlight w:val="none"/>
          <w:lang w:val="en-US" w:eastAsia="zh-CN"/>
        </w:rPr>
        <w:t>对往届资金投入</w:t>
      </w:r>
      <w:r>
        <w:rPr>
          <w:rFonts w:hint="eastAsia"/>
          <w:b w:val="0"/>
          <w:bCs w:val="0"/>
          <w:highlight w:val="none"/>
          <w:lang w:val="en-US" w:eastAsia="zh-CN"/>
        </w:rPr>
        <w:t>进行</w:t>
      </w:r>
      <w:r>
        <w:rPr>
          <w:rFonts w:hint="default"/>
          <w:b w:val="0"/>
          <w:bCs w:val="0"/>
          <w:highlight w:val="none"/>
          <w:lang w:val="en-US" w:eastAsia="zh-CN"/>
        </w:rPr>
        <w:t>成本绩效分析，为预算编制提供有效支撑</w:t>
      </w:r>
      <w:r>
        <w:rPr>
          <w:rFonts w:hint="eastAsia"/>
          <w:b w:val="0"/>
          <w:bCs w:val="0"/>
          <w:highlight w:val="none"/>
          <w:lang w:val="en-US" w:eastAsia="zh-CN"/>
        </w:rPr>
        <w:t>，同时</w:t>
      </w:r>
      <w:r>
        <w:rPr>
          <w:rFonts w:hint="default"/>
          <w:b w:val="0"/>
          <w:bCs w:val="0"/>
          <w:highlight w:val="none"/>
          <w:lang w:val="en-US" w:eastAsia="zh-CN"/>
        </w:rPr>
        <w:t>建立科学的预算编制机制，</w:t>
      </w:r>
      <w:r>
        <w:rPr>
          <w:rFonts w:hint="eastAsia"/>
          <w:b w:val="0"/>
          <w:bCs w:val="0"/>
          <w:highlight w:val="none"/>
          <w:lang w:val="en-US" w:eastAsia="zh-CN"/>
        </w:rPr>
        <w:t>采取必要的成本控制措施，</w:t>
      </w:r>
      <w:r>
        <w:rPr>
          <w:rFonts w:hint="default"/>
          <w:b w:val="0"/>
          <w:bCs w:val="0"/>
          <w:highlight w:val="none"/>
          <w:lang w:val="en-US" w:eastAsia="zh-CN"/>
        </w:rPr>
        <w:t>确保预算安排合理、</w:t>
      </w:r>
      <w:r>
        <w:rPr>
          <w:rFonts w:hint="eastAsia"/>
          <w:b w:val="0"/>
          <w:bCs w:val="0"/>
          <w:highlight w:val="none"/>
          <w:lang w:val="en-US" w:eastAsia="zh-CN"/>
        </w:rPr>
        <w:t>经济</w:t>
      </w:r>
      <w:r>
        <w:rPr>
          <w:rFonts w:hint="default"/>
          <w:b w:val="0"/>
          <w:bCs w:val="0"/>
          <w:highlight w:val="none"/>
          <w:lang w:val="en-US" w:eastAsia="zh-CN"/>
        </w:rPr>
        <w:t>。</w:t>
      </w:r>
      <w:r>
        <w:rPr>
          <w:rFonts w:hint="eastAsia"/>
          <w:b/>
          <w:bCs/>
          <w:highlight w:val="none"/>
          <w:lang w:val="en-US" w:eastAsia="zh-CN"/>
        </w:rPr>
        <w:t>二是</w:t>
      </w:r>
      <w:r>
        <w:rPr>
          <w:rFonts w:hint="eastAsia"/>
          <w:b w:val="0"/>
          <w:bCs w:val="0"/>
          <w:highlight w:val="none"/>
          <w:lang w:val="en-US" w:eastAsia="zh-CN"/>
        </w:rPr>
        <w:t>规范执行采购工作，严格按照政府采购管理办法执行。</w:t>
      </w:r>
      <w:r>
        <w:rPr>
          <w:rFonts w:hint="eastAsia"/>
          <w:b/>
          <w:bCs/>
          <w:highlight w:val="none"/>
          <w:lang w:val="en-US" w:eastAsia="zh-CN"/>
        </w:rPr>
        <w:t>三是</w:t>
      </w:r>
      <w:r>
        <w:rPr>
          <w:rFonts w:hint="eastAsia"/>
          <w:b w:val="0"/>
          <w:bCs w:val="0"/>
          <w:highlight w:val="none"/>
          <w:lang w:val="en-US" w:eastAsia="zh-CN"/>
        </w:rPr>
        <w:t>加强合同管理，调整首付款比例，规避资金支出风险，规范填报合同内容，保证合同要素完整，提高合同约束性。</w:t>
      </w:r>
    </w:p>
    <w:p w14:paraId="0B31E79F">
      <w:pPr>
        <w:pStyle w:val="3"/>
        <w:numPr>
          <w:ilvl w:val="0"/>
          <w:numId w:val="1"/>
        </w:numPr>
        <w:spacing w:before="0" w:after="0" w:line="560" w:lineRule="exact"/>
        <w:rPr>
          <w:rFonts w:hint="eastAsia" w:ascii="楷体" w:hAnsi="楷体" w:eastAsia="楷体" w:cs="宋体"/>
          <w:highlight w:val="none"/>
          <w:lang w:val="en-US" w:eastAsia="zh-CN"/>
        </w:rPr>
      </w:pPr>
      <w:bookmarkStart w:id="84" w:name="_Toc696628943"/>
      <w:r>
        <w:rPr>
          <w:rFonts w:hint="eastAsia" w:ascii="楷体" w:hAnsi="楷体" w:eastAsia="楷体" w:cs="宋体"/>
          <w:highlight w:val="none"/>
          <w:lang w:val="en-US" w:eastAsia="zh-CN"/>
        </w:rPr>
        <w:t>完善项目整体实施方案，加强项目过程管理</w:t>
      </w:r>
      <w:bookmarkEnd w:id="84"/>
    </w:p>
    <w:p w14:paraId="4EAA2BBD">
      <w:pPr>
        <w:spacing w:line="560" w:lineRule="exact"/>
        <w:ind w:firstLine="643" w:firstLineChars="200"/>
        <w:rPr>
          <w:rFonts w:hint="default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一是</w:t>
      </w:r>
      <w:r>
        <w:rPr>
          <w:rFonts w:hint="eastAsia"/>
          <w:b w:val="0"/>
          <w:bCs w:val="0"/>
          <w:highlight w:val="none"/>
          <w:lang w:val="en-US" w:eastAsia="zh-CN"/>
        </w:rPr>
        <w:t>建议项目单位完善整体实施方案，围绕国际顾问会议的核心目标、核心产出内容，结合部门、项目特点，统筹人力、物力等资源，明确组织架构、职责分工、实施步骤、时间节点、质量标准及风险应对措施等，确保项目实施有章可循、有据可依。</w:t>
      </w:r>
      <w:r>
        <w:rPr>
          <w:rFonts w:hint="eastAsia"/>
          <w:b/>
          <w:bCs/>
          <w:highlight w:val="none"/>
          <w:lang w:val="en-US" w:eastAsia="zh-CN"/>
        </w:rPr>
        <w:t>二是</w:t>
      </w:r>
      <w:r>
        <w:rPr>
          <w:rFonts w:hint="eastAsia"/>
          <w:b w:val="0"/>
          <w:bCs w:val="0"/>
          <w:highlight w:val="none"/>
          <w:lang w:val="en-US" w:eastAsia="zh-CN"/>
        </w:rPr>
        <w:t>在项目实施过程中，项目单位应严格按照实施方案及相关管理制度推进各项工作，加强第三方服务过程监控与管理，注重过程管理工作留痕和相关资料收集。</w:t>
      </w:r>
    </w:p>
    <w:sectPr>
      <w:footerReference r:id="rId12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&amp;Euml">
    <w:altName w:val="思源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思源宋体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 New Roman Regular">
    <w:altName w:val="DejaVu Sans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Times New Roman Bold">
    <w:altName w:val="DejaVu Sans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CE8D7">
    <w:pPr>
      <w:pStyle w:val="12"/>
      <w:ind w:firstLine="360"/>
      <w:jc w:val="center"/>
    </w:pPr>
  </w:p>
  <w:p w14:paraId="2E54F7C4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07F44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FF2D8">
    <w:pPr>
      <w:pStyle w:val="12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25E78">
    <w:pPr>
      <w:pStyle w:val="12"/>
      <w:ind w:firstLine="360"/>
      <w:jc w:val="center"/>
    </w:pPr>
  </w:p>
  <w:p w14:paraId="65211E10">
    <w:pPr>
      <w:pStyle w:val="12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59766578"/>
      <w:docPartObj>
        <w:docPartGallery w:val="autotext"/>
      </w:docPartObj>
    </w:sdtPr>
    <w:sdtEndPr>
      <w:rPr>
        <w:sz w:val="28"/>
        <w:szCs w:val="28"/>
      </w:rPr>
    </w:sdtEndPr>
    <w:sdtContent>
      <w:p w14:paraId="5EDD13A5">
        <w:pPr>
          <w:pStyle w:val="12"/>
          <w:ind w:firstLine="360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738EA"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6A6E6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F14DC">
    <w:pPr>
      <w:pStyle w:val="1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EE5D71"/>
    <w:multiLevelType w:val="singleLevel"/>
    <w:tmpl w:val="FFEE5D7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OWYwMWJmYjFkODg4YWJlMjliZWM1ZDdmYWRlNTgifQ=="/>
  </w:docVars>
  <w:rsids>
    <w:rsidRoot w:val="06327F57"/>
    <w:rsid w:val="00000083"/>
    <w:rsid w:val="000013C6"/>
    <w:rsid w:val="00003091"/>
    <w:rsid w:val="000039AD"/>
    <w:rsid w:val="00004D8C"/>
    <w:rsid w:val="0000507C"/>
    <w:rsid w:val="000058AC"/>
    <w:rsid w:val="000068DD"/>
    <w:rsid w:val="0000695A"/>
    <w:rsid w:val="00011736"/>
    <w:rsid w:val="000117E1"/>
    <w:rsid w:val="00012C9F"/>
    <w:rsid w:val="000130B4"/>
    <w:rsid w:val="00013B38"/>
    <w:rsid w:val="0001505B"/>
    <w:rsid w:val="0001676B"/>
    <w:rsid w:val="000176B6"/>
    <w:rsid w:val="00021B27"/>
    <w:rsid w:val="0002294D"/>
    <w:rsid w:val="00022979"/>
    <w:rsid w:val="000230FD"/>
    <w:rsid w:val="00023E4B"/>
    <w:rsid w:val="000241A5"/>
    <w:rsid w:val="00024A35"/>
    <w:rsid w:val="00024B73"/>
    <w:rsid w:val="0002568B"/>
    <w:rsid w:val="00026759"/>
    <w:rsid w:val="00030F5B"/>
    <w:rsid w:val="00031602"/>
    <w:rsid w:val="00031DF9"/>
    <w:rsid w:val="00034C5F"/>
    <w:rsid w:val="00035413"/>
    <w:rsid w:val="00037993"/>
    <w:rsid w:val="00040123"/>
    <w:rsid w:val="00040474"/>
    <w:rsid w:val="0004199F"/>
    <w:rsid w:val="00042BD7"/>
    <w:rsid w:val="00044174"/>
    <w:rsid w:val="000444E4"/>
    <w:rsid w:val="00044541"/>
    <w:rsid w:val="00045077"/>
    <w:rsid w:val="000468D6"/>
    <w:rsid w:val="00053E12"/>
    <w:rsid w:val="00062F8E"/>
    <w:rsid w:val="000659F9"/>
    <w:rsid w:val="00071D71"/>
    <w:rsid w:val="00072185"/>
    <w:rsid w:val="000748BB"/>
    <w:rsid w:val="00075AFA"/>
    <w:rsid w:val="00081AB6"/>
    <w:rsid w:val="00083702"/>
    <w:rsid w:val="0008737F"/>
    <w:rsid w:val="000903E0"/>
    <w:rsid w:val="00090AF0"/>
    <w:rsid w:val="00092152"/>
    <w:rsid w:val="000968BC"/>
    <w:rsid w:val="000A3562"/>
    <w:rsid w:val="000A3B62"/>
    <w:rsid w:val="000A5292"/>
    <w:rsid w:val="000A676B"/>
    <w:rsid w:val="000A7B67"/>
    <w:rsid w:val="000B1DB4"/>
    <w:rsid w:val="000B550A"/>
    <w:rsid w:val="000C08B4"/>
    <w:rsid w:val="000C1D39"/>
    <w:rsid w:val="000C3913"/>
    <w:rsid w:val="000C4CF1"/>
    <w:rsid w:val="000C5014"/>
    <w:rsid w:val="000C65F7"/>
    <w:rsid w:val="000C6CA7"/>
    <w:rsid w:val="000D0DB3"/>
    <w:rsid w:val="000D0FC1"/>
    <w:rsid w:val="000D143E"/>
    <w:rsid w:val="000D42D2"/>
    <w:rsid w:val="000D4FD6"/>
    <w:rsid w:val="000D5E6F"/>
    <w:rsid w:val="000D677D"/>
    <w:rsid w:val="000E251E"/>
    <w:rsid w:val="000E2AFD"/>
    <w:rsid w:val="000E5026"/>
    <w:rsid w:val="000E70FB"/>
    <w:rsid w:val="000E7256"/>
    <w:rsid w:val="000F1B2A"/>
    <w:rsid w:val="000F2E5F"/>
    <w:rsid w:val="000F2F7F"/>
    <w:rsid w:val="000F31FD"/>
    <w:rsid w:val="000F6E9C"/>
    <w:rsid w:val="0010309E"/>
    <w:rsid w:val="001036BF"/>
    <w:rsid w:val="00103E70"/>
    <w:rsid w:val="00104106"/>
    <w:rsid w:val="00105BCC"/>
    <w:rsid w:val="00111054"/>
    <w:rsid w:val="00113303"/>
    <w:rsid w:val="00113C54"/>
    <w:rsid w:val="00113D34"/>
    <w:rsid w:val="00113F64"/>
    <w:rsid w:val="00113F96"/>
    <w:rsid w:val="0011523C"/>
    <w:rsid w:val="00117C22"/>
    <w:rsid w:val="00120EE6"/>
    <w:rsid w:val="00121E1D"/>
    <w:rsid w:val="00123388"/>
    <w:rsid w:val="001259B0"/>
    <w:rsid w:val="0012620A"/>
    <w:rsid w:val="00126427"/>
    <w:rsid w:val="001276E0"/>
    <w:rsid w:val="001301AE"/>
    <w:rsid w:val="00130941"/>
    <w:rsid w:val="00131836"/>
    <w:rsid w:val="00133582"/>
    <w:rsid w:val="00133A6B"/>
    <w:rsid w:val="00134429"/>
    <w:rsid w:val="001352D5"/>
    <w:rsid w:val="001378B1"/>
    <w:rsid w:val="001439AA"/>
    <w:rsid w:val="00144838"/>
    <w:rsid w:val="00145E14"/>
    <w:rsid w:val="001466B5"/>
    <w:rsid w:val="00147754"/>
    <w:rsid w:val="00150A73"/>
    <w:rsid w:val="00150D8B"/>
    <w:rsid w:val="001511C2"/>
    <w:rsid w:val="00151D8A"/>
    <w:rsid w:val="0015401F"/>
    <w:rsid w:val="0015408E"/>
    <w:rsid w:val="001546B4"/>
    <w:rsid w:val="00155381"/>
    <w:rsid w:val="0015570D"/>
    <w:rsid w:val="00162C6B"/>
    <w:rsid w:val="00170C1F"/>
    <w:rsid w:val="001731D6"/>
    <w:rsid w:val="00175BAB"/>
    <w:rsid w:val="00180834"/>
    <w:rsid w:val="00180EA0"/>
    <w:rsid w:val="00182564"/>
    <w:rsid w:val="00183998"/>
    <w:rsid w:val="0018577C"/>
    <w:rsid w:val="001857E0"/>
    <w:rsid w:val="00186CA7"/>
    <w:rsid w:val="0018726D"/>
    <w:rsid w:val="00187C60"/>
    <w:rsid w:val="0019014C"/>
    <w:rsid w:val="00191025"/>
    <w:rsid w:val="0019238C"/>
    <w:rsid w:val="001927DA"/>
    <w:rsid w:val="00192A22"/>
    <w:rsid w:val="00193F39"/>
    <w:rsid w:val="001944DA"/>
    <w:rsid w:val="00194C40"/>
    <w:rsid w:val="00194EC2"/>
    <w:rsid w:val="0019613D"/>
    <w:rsid w:val="001A49BE"/>
    <w:rsid w:val="001A51CD"/>
    <w:rsid w:val="001A5FDE"/>
    <w:rsid w:val="001A6DA4"/>
    <w:rsid w:val="001B3411"/>
    <w:rsid w:val="001B4A01"/>
    <w:rsid w:val="001B6BBF"/>
    <w:rsid w:val="001C09C5"/>
    <w:rsid w:val="001C0B4D"/>
    <w:rsid w:val="001C284F"/>
    <w:rsid w:val="001C2A4A"/>
    <w:rsid w:val="001C4562"/>
    <w:rsid w:val="001C4D6B"/>
    <w:rsid w:val="001C59A2"/>
    <w:rsid w:val="001C61D1"/>
    <w:rsid w:val="001C6B3D"/>
    <w:rsid w:val="001C6B76"/>
    <w:rsid w:val="001C74FF"/>
    <w:rsid w:val="001C7B7A"/>
    <w:rsid w:val="001D1ABA"/>
    <w:rsid w:val="001D4E77"/>
    <w:rsid w:val="001D5F8A"/>
    <w:rsid w:val="001E04C6"/>
    <w:rsid w:val="001E3ABE"/>
    <w:rsid w:val="001E3F79"/>
    <w:rsid w:val="001E60F2"/>
    <w:rsid w:val="001F087A"/>
    <w:rsid w:val="001F1CC6"/>
    <w:rsid w:val="001F20E1"/>
    <w:rsid w:val="001F5DF5"/>
    <w:rsid w:val="001F75E3"/>
    <w:rsid w:val="0020299B"/>
    <w:rsid w:val="0020364F"/>
    <w:rsid w:val="002046D1"/>
    <w:rsid w:val="00204D9F"/>
    <w:rsid w:val="0020502C"/>
    <w:rsid w:val="002064BF"/>
    <w:rsid w:val="002103C3"/>
    <w:rsid w:val="0021163A"/>
    <w:rsid w:val="00213E28"/>
    <w:rsid w:val="002142A2"/>
    <w:rsid w:val="00214F6E"/>
    <w:rsid w:val="002178F3"/>
    <w:rsid w:val="002200A9"/>
    <w:rsid w:val="00223CC8"/>
    <w:rsid w:val="00224059"/>
    <w:rsid w:val="00224C28"/>
    <w:rsid w:val="0023082C"/>
    <w:rsid w:val="00230887"/>
    <w:rsid w:val="00230C19"/>
    <w:rsid w:val="00232E77"/>
    <w:rsid w:val="0023376D"/>
    <w:rsid w:val="00233B5A"/>
    <w:rsid w:val="00233FF3"/>
    <w:rsid w:val="002345BE"/>
    <w:rsid w:val="00237B74"/>
    <w:rsid w:val="002403FD"/>
    <w:rsid w:val="002407B8"/>
    <w:rsid w:val="00244157"/>
    <w:rsid w:val="00245EC2"/>
    <w:rsid w:val="00246665"/>
    <w:rsid w:val="00246FD0"/>
    <w:rsid w:val="00250366"/>
    <w:rsid w:val="00251AC6"/>
    <w:rsid w:val="0025219E"/>
    <w:rsid w:val="0025798C"/>
    <w:rsid w:val="00257C09"/>
    <w:rsid w:val="002617A5"/>
    <w:rsid w:val="00262087"/>
    <w:rsid w:val="00263FE0"/>
    <w:rsid w:val="0026491B"/>
    <w:rsid w:val="00266086"/>
    <w:rsid w:val="0026699D"/>
    <w:rsid w:val="00272803"/>
    <w:rsid w:val="00273AC2"/>
    <w:rsid w:val="00275722"/>
    <w:rsid w:val="00275DE8"/>
    <w:rsid w:val="0027655E"/>
    <w:rsid w:val="002768A3"/>
    <w:rsid w:val="00277B80"/>
    <w:rsid w:val="00282327"/>
    <w:rsid w:val="00283F2F"/>
    <w:rsid w:val="00284D0F"/>
    <w:rsid w:val="00284E20"/>
    <w:rsid w:val="002866F5"/>
    <w:rsid w:val="002869BD"/>
    <w:rsid w:val="00286DA1"/>
    <w:rsid w:val="00291743"/>
    <w:rsid w:val="00292029"/>
    <w:rsid w:val="002920CE"/>
    <w:rsid w:val="00293E72"/>
    <w:rsid w:val="00295929"/>
    <w:rsid w:val="00295AB6"/>
    <w:rsid w:val="00296ED7"/>
    <w:rsid w:val="00297057"/>
    <w:rsid w:val="0029756C"/>
    <w:rsid w:val="00297C27"/>
    <w:rsid w:val="00297DC3"/>
    <w:rsid w:val="002A106E"/>
    <w:rsid w:val="002A5637"/>
    <w:rsid w:val="002A6481"/>
    <w:rsid w:val="002B2336"/>
    <w:rsid w:val="002B29A3"/>
    <w:rsid w:val="002B48E4"/>
    <w:rsid w:val="002B4CE1"/>
    <w:rsid w:val="002B5A85"/>
    <w:rsid w:val="002B62CE"/>
    <w:rsid w:val="002B7F8A"/>
    <w:rsid w:val="002C052F"/>
    <w:rsid w:val="002C0D3B"/>
    <w:rsid w:val="002C4D3E"/>
    <w:rsid w:val="002C58D3"/>
    <w:rsid w:val="002C606F"/>
    <w:rsid w:val="002C6699"/>
    <w:rsid w:val="002C78C1"/>
    <w:rsid w:val="002C7B6A"/>
    <w:rsid w:val="002D10CE"/>
    <w:rsid w:val="002D421D"/>
    <w:rsid w:val="002E2102"/>
    <w:rsid w:val="002E369F"/>
    <w:rsid w:val="002E5366"/>
    <w:rsid w:val="002E5786"/>
    <w:rsid w:val="002E7204"/>
    <w:rsid w:val="002F1BE5"/>
    <w:rsid w:val="002F33FA"/>
    <w:rsid w:val="002F40D7"/>
    <w:rsid w:val="002F4D19"/>
    <w:rsid w:val="002F7AAF"/>
    <w:rsid w:val="00301E0F"/>
    <w:rsid w:val="0030293C"/>
    <w:rsid w:val="00302EF7"/>
    <w:rsid w:val="0030522D"/>
    <w:rsid w:val="00305649"/>
    <w:rsid w:val="00307295"/>
    <w:rsid w:val="00310A16"/>
    <w:rsid w:val="003110A5"/>
    <w:rsid w:val="00311CBA"/>
    <w:rsid w:val="00314318"/>
    <w:rsid w:val="00314E2A"/>
    <w:rsid w:val="003163F5"/>
    <w:rsid w:val="00316617"/>
    <w:rsid w:val="003208B7"/>
    <w:rsid w:val="0032216C"/>
    <w:rsid w:val="00323D2D"/>
    <w:rsid w:val="00325CCD"/>
    <w:rsid w:val="00326222"/>
    <w:rsid w:val="00326F16"/>
    <w:rsid w:val="00332261"/>
    <w:rsid w:val="003323D7"/>
    <w:rsid w:val="00332BE7"/>
    <w:rsid w:val="003331FC"/>
    <w:rsid w:val="00333ACB"/>
    <w:rsid w:val="003363E8"/>
    <w:rsid w:val="00336D9A"/>
    <w:rsid w:val="00336E8C"/>
    <w:rsid w:val="00337318"/>
    <w:rsid w:val="00337FB4"/>
    <w:rsid w:val="00342C33"/>
    <w:rsid w:val="00344CC6"/>
    <w:rsid w:val="00345434"/>
    <w:rsid w:val="003454FE"/>
    <w:rsid w:val="00346BD6"/>
    <w:rsid w:val="00347877"/>
    <w:rsid w:val="003500F4"/>
    <w:rsid w:val="0035219F"/>
    <w:rsid w:val="0035263A"/>
    <w:rsid w:val="00352667"/>
    <w:rsid w:val="00353A72"/>
    <w:rsid w:val="00354770"/>
    <w:rsid w:val="0036013C"/>
    <w:rsid w:val="00360EFA"/>
    <w:rsid w:val="0036512F"/>
    <w:rsid w:val="00365958"/>
    <w:rsid w:val="0036640F"/>
    <w:rsid w:val="003674D2"/>
    <w:rsid w:val="003713ED"/>
    <w:rsid w:val="003726F2"/>
    <w:rsid w:val="0037323B"/>
    <w:rsid w:val="003764F1"/>
    <w:rsid w:val="003773A6"/>
    <w:rsid w:val="00384F61"/>
    <w:rsid w:val="00384FD2"/>
    <w:rsid w:val="0038777B"/>
    <w:rsid w:val="003900E7"/>
    <w:rsid w:val="00391305"/>
    <w:rsid w:val="003937DD"/>
    <w:rsid w:val="00393C21"/>
    <w:rsid w:val="00393CFC"/>
    <w:rsid w:val="00395500"/>
    <w:rsid w:val="00395625"/>
    <w:rsid w:val="00395D7D"/>
    <w:rsid w:val="00395FB7"/>
    <w:rsid w:val="00397A9A"/>
    <w:rsid w:val="003A0DA8"/>
    <w:rsid w:val="003A1C3F"/>
    <w:rsid w:val="003A2817"/>
    <w:rsid w:val="003A33A8"/>
    <w:rsid w:val="003A3CF0"/>
    <w:rsid w:val="003A46C1"/>
    <w:rsid w:val="003A6061"/>
    <w:rsid w:val="003A7CA5"/>
    <w:rsid w:val="003B02C6"/>
    <w:rsid w:val="003B0690"/>
    <w:rsid w:val="003B0959"/>
    <w:rsid w:val="003B246A"/>
    <w:rsid w:val="003B3DEC"/>
    <w:rsid w:val="003B5808"/>
    <w:rsid w:val="003B76C0"/>
    <w:rsid w:val="003B79EB"/>
    <w:rsid w:val="003C277C"/>
    <w:rsid w:val="003C29A0"/>
    <w:rsid w:val="003C3069"/>
    <w:rsid w:val="003C43CF"/>
    <w:rsid w:val="003D202C"/>
    <w:rsid w:val="003D2B3F"/>
    <w:rsid w:val="003D3311"/>
    <w:rsid w:val="003D413A"/>
    <w:rsid w:val="003D4B83"/>
    <w:rsid w:val="003D5411"/>
    <w:rsid w:val="003D5AB7"/>
    <w:rsid w:val="003D5AC7"/>
    <w:rsid w:val="003D5FAC"/>
    <w:rsid w:val="003E144B"/>
    <w:rsid w:val="003E1530"/>
    <w:rsid w:val="003E1B13"/>
    <w:rsid w:val="003E4518"/>
    <w:rsid w:val="003E73EA"/>
    <w:rsid w:val="003F5E62"/>
    <w:rsid w:val="003F610D"/>
    <w:rsid w:val="00400716"/>
    <w:rsid w:val="00400CD2"/>
    <w:rsid w:val="004015D1"/>
    <w:rsid w:val="00403316"/>
    <w:rsid w:val="00405C5C"/>
    <w:rsid w:val="00406694"/>
    <w:rsid w:val="0040734B"/>
    <w:rsid w:val="00407F37"/>
    <w:rsid w:val="00410099"/>
    <w:rsid w:val="00411CFB"/>
    <w:rsid w:val="00413622"/>
    <w:rsid w:val="00413E9A"/>
    <w:rsid w:val="00414727"/>
    <w:rsid w:val="00417808"/>
    <w:rsid w:val="004179C3"/>
    <w:rsid w:val="00417BB3"/>
    <w:rsid w:val="00421373"/>
    <w:rsid w:val="00421E1A"/>
    <w:rsid w:val="00422F61"/>
    <w:rsid w:val="0042362A"/>
    <w:rsid w:val="00423A9D"/>
    <w:rsid w:val="004246A9"/>
    <w:rsid w:val="00425007"/>
    <w:rsid w:val="004345D6"/>
    <w:rsid w:val="00434D9B"/>
    <w:rsid w:val="00436F34"/>
    <w:rsid w:val="00437205"/>
    <w:rsid w:val="004379DB"/>
    <w:rsid w:val="00437D0A"/>
    <w:rsid w:val="0044279E"/>
    <w:rsid w:val="004431CC"/>
    <w:rsid w:val="00443526"/>
    <w:rsid w:val="00446663"/>
    <w:rsid w:val="00447BB8"/>
    <w:rsid w:val="00452554"/>
    <w:rsid w:val="004530D0"/>
    <w:rsid w:val="00454110"/>
    <w:rsid w:val="00455964"/>
    <w:rsid w:val="00456162"/>
    <w:rsid w:val="00463A97"/>
    <w:rsid w:val="0046530C"/>
    <w:rsid w:val="004656AD"/>
    <w:rsid w:val="00470519"/>
    <w:rsid w:val="00472088"/>
    <w:rsid w:val="004728E0"/>
    <w:rsid w:val="00477561"/>
    <w:rsid w:val="00481C91"/>
    <w:rsid w:val="00481EBA"/>
    <w:rsid w:val="00485220"/>
    <w:rsid w:val="004871B3"/>
    <w:rsid w:val="00491E83"/>
    <w:rsid w:val="0049207D"/>
    <w:rsid w:val="0049255D"/>
    <w:rsid w:val="004944BD"/>
    <w:rsid w:val="0049522E"/>
    <w:rsid w:val="004960D3"/>
    <w:rsid w:val="00497694"/>
    <w:rsid w:val="004A04D0"/>
    <w:rsid w:val="004A065F"/>
    <w:rsid w:val="004A121D"/>
    <w:rsid w:val="004A14B3"/>
    <w:rsid w:val="004A1C18"/>
    <w:rsid w:val="004A23B9"/>
    <w:rsid w:val="004A27ED"/>
    <w:rsid w:val="004A4A7E"/>
    <w:rsid w:val="004A5F83"/>
    <w:rsid w:val="004A6BD8"/>
    <w:rsid w:val="004B18DA"/>
    <w:rsid w:val="004B1B23"/>
    <w:rsid w:val="004B1B3D"/>
    <w:rsid w:val="004B1FCF"/>
    <w:rsid w:val="004B2AA1"/>
    <w:rsid w:val="004B743A"/>
    <w:rsid w:val="004C0127"/>
    <w:rsid w:val="004C0AF5"/>
    <w:rsid w:val="004C17F1"/>
    <w:rsid w:val="004C6456"/>
    <w:rsid w:val="004C6C2B"/>
    <w:rsid w:val="004C6E4E"/>
    <w:rsid w:val="004C7390"/>
    <w:rsid w:val="004D03DE"/>
    <w:rsid w:val="004D11F6"/>
    <w:rsid w:val="004D131F"/>
    <w:rsid w:val="004D2CD7"/>
    <w:rsid w:val="004D3306"/>
    <w:rsid w:val="004D5422"/>
    <w:rsid w:val="004D5768"/>
    <w:rsid w:val="004D6D7D"/>
    <w:rsid w:val="004D7D41"/>
    <w:rsid w:val="004E079B"/>
    <w:rsid w:val="004E3039"/>
    <w:rsid w:val="004E402E"/>
    <w:rsid w:val="004E4A3A"/>
    <w:rsid w:val="004E5BCE"/>
    <w:rsid w:val="004E6451"/>
    <w:rsid w:val="004E7968"/>
    <w:rsid w:val="004F173D"/>
    <w:rsid w:val="004F22ED"/>
    <w:rsid w:val="004F2A3A"/>
    <w:rsid w:val="004F7264"/>
    <w:rsid w:val="005019AF"/>
    <w:rsid w:val="005020DA"/>
    <w:rsid w:val="00503688"/>
    <w:rsid w:val="00510181"/>
    <w:rsid w:val="00511D7F"/>
    <w:rsid w:val="005149F6"/>
    <w:rsid w:val="005155C1"/>
    <w:rsid w:val="00517B3F"/>
    <w:rsid w:val="00520604"/>
    <w:rsid w:val="005208C2"/>
    <w:rsid w:val="00521A3D"/>
    <w:rsid w:val="00521D85"/>
    <w:rsid w:val="00522B8B"/>
    <w:rsid w:val="005232FF"/>
    <w:rsid w:val="00524886"/>
    <w:rsid w:val="0052554F"/>
    <w:rsid w:val="00532487"/>
    <w:rsid w:val="00533FE0"/>
    <w:rsid w:val="005345AE"/>
    <w:rsid w:val="00535FE9"/>
    <w:rsid w:val="005377AB"/>
    <w:rsid w:val="005403B3"/>
    <w:rsid w:val="0054397B"/>
    <w:rsid w:val="00543D42"/>
    <w:rsid w:val="00544398"/>
    <w:rsid w:val="00544D15"/>
    <w:rsid w:val="00547A65"/>
    <w:rsid w:val="00552E26"/>
    <w:rsid w:val="00553305"/>
    <w:rsid w:val="00553422"/>
    <w:rsid w:val="00553823"/>
    <w:rsid w:val="00554FC8"/>
    <w:rsid w:val="0055503F"/>
    <w:rsid w:val="00555834"/>
    <w:rsid w:val="00556623"/>
    <w:rsid w:val="00560961"/>
    <w:rsid w:val="005609B2"/>
    <w:rsid w:val="00562EF7"/>
    <w:rsid w:val="005631EC"/>
    <w:rsid w:val="00563F1B"/>
    <w:rsid w:val="005652DD"/>
    <w:rsid w:val="00565D54"/>
    <w:rsid w:val="00565EC8"/>
    <w:rsid w:val="005677D5"/>
    <w:rsid w:val="00571921"/>
    <w:rsid w:val="00571960"/>
    <w:rsid w:val="005745E1"/>
    <w:rsid w:val="00574F7E"/>
    <w:rsid w:val="0057516B"/>
    <w:rsid w:val="005752D9"/>
    <w:rsid w:val="00575556"/>
    <w:rsid w:val="005758D4"/>
    <w:rsid w:val="00577F71"/>
    <w:rsid w:val="00580E29"/>
    <w:rsid w:val="00582D93"/>
    <w:rsid w:val="00584121"/>
    <w:rsid w:val="00584729"/>
    <w:rsid w:val="00585DFA"/>
    <w:rsid w:val="00587D92"/>
    <w:rsid w:val="0059006B"/>
    <w:rsid w:val="00591105"/>
    <w:rsid w:val="00591D07"/>
    <w:rsid w:val="00592F02"/>
    <w:rsid w:val="00593414"/>
    <w:rsid w:val="00594A55"/>
    <w:rsid w:val="005955E1"/>
    <w:rsid w:val="00595FD9"/>
    <w:rsid w:val="00597B08"/>
    <w:rsid w:val="005A0613"/>
    <w:rsid w:val="005A0F10"/>
    <w:rsid w:val="005A42A9"/>
    <w:rsid w:val="005A4943"/>
    <w:rsid w:val="005A4CE8"/>
    <w:rsid w:val="005A5554"/>
    <w:rsid w:val="005B0114"/>
    <w:rsid w:val="005B0B70"/>
    <w:rsid w:val="005B0FAC"/>
    <w:rsid w:val="005B4008"/>
    <w:rsid w:val="005B4063"/>
    <w:rsid w:val="005B42D2"/>
    <w:rsid w:val="005B472E"/>
    <w:rsid w:val="005B516A"/>
    <w:rsid w:val="005B79B1"/>
    <w:rsid w:val="005C0912"/>
    <w:rsid w:val="005C0B02"/>
    <w:rsid w:val="005C12CD"/>
    <w:rsid w:val="005C32DB"/>
    <w:rsid w:val="005C354D"/>
    <w:rsid w:val="005C692C"/>
    <w:rsid w:val="005C6954"/>
    <w:rsid w:val="005C7AA6"/>
    <w:rsid w:val="005D1074"/>
    <w:rsid w:val="005D1C34"/>
    <w:rsid w:val="005D2AF2"/>
    <w:rsid w:val="005D74AB"/>
    <w:rsid w:val="005E221C"/>
    <w:rsid w:val="005E36F6"/>
    <w:rsid w:val="005E461D"/>
    <w:rsid w:val="005E6682"/>
    <w:rsid w:val="005E6EE6"/>
    <w:rsid w:val="005E7143"/>
    <w:rsid w:val="005F1E66"/>
    <w:rsid w:val="005F3CEA"/>
    <w:rsid w:val="005F457E"/>
    <w:rsid w:val="005F6FF2"/>
    <w:rsid w:val="005F7A54"/>
    <w:rsid w:val="005F7C37"/>
    <w:rsid w:val="005F7C38"/>
    <w:rsid w:val="00601601"/>
    <w:rsid w:val="006064D6"/>
    <w:rsid w:val="00606EE9"/>
    <w:rsid w:val="00612015"/>
    <w:rsid w:val="006143B8"/>
    <w:rsid w:val="00614AD3"/>
    <w:rsid w:val="0061599D"/>
    <w:rsid w:val="00621B6A"/>
    <w:rsid w:val="00622029"/>
    <w:rsid w:val="00623D9B"/>
    <w:rsid w:val="00625E22"/>
    <w:rsid w:val="00632BA1"/>
    <w:rsid w:val="00632BE9"/>
    <w:rsid w:val="006355DC"/>
    <w:rsid w:val="006360D3"/>
    <w:rsid w:val="006376F8"/>
    <w:rsid w:val="00642AF2"/>
    <w:rsid w:val="006438E2"/>
    <w:rsid w:val="00645FD6"/>
    <w:rsid w:val="00646FD0"/>
    <w:rsid w:val="00647722"/>
    <w:rsid w:val="006506A9"/>
    <w:rsid w:val="00650996"/>
    <w:rsid w:val="00651F48"/>
    <w:rsid w:val="00652B38"/>
    <w:rsid w:val="00654972"/>
    <w:rsid w:val="0065540C"/>
    <w:rsid w:val="00656421"/>
    <w:rsid w:val="00656FF5"/>
    <w:rsid w:val="00657D8C"/>
    <w:rsid w:val="00660C40"/>
    <w:rsid w:val="00661597"/>
    <w:rsid w:val="006620D1"/>
    <w:rsid w:val="00662628"/>
    <w:rsid w:val="00665CC2"/>
    <w:rsid w:val="006708C0"/>
    <w:rsid w:val="00671E84"/>
    <w:rsid w:val="006733E8"/>
    <w:rsid w:val="0067431B"/>
    <w:rsid w:val="00675C65"/>
    <w:rsid w:val="0068086F"/>
    <w:rsid w:val="0068117D"/>
    <w:rsid w:val="00683C9C"/>
    <w:rsid w:val="00687F78"/>
    <w:rsid w:val="0069038B"/>
    <w:rsid w:val="00693106"/>
    <w:rsid w:val="006947D2"/>
    <w:rsid w:val="00694D23"/>
    <w:rsid w:val="006964B7"/>
    <w:rsid w:val="006964B8"/>
    <w:rsid w:val="00696560"/>
    <w:rsid w:val="006966EB"/>
    <w:rsid w:val="0069712F"/>
    <w:rsid w:val="006A06DD"/>
    <w:rsid w:val="006A08AE"/>
    <w:rsid w:val="006A1393"/>
    <w:rsid w:val="006A1E8D"/>
    <w:rsid w:val="006A35DA"/>
    <w:rsid w:val="006A3C53"/>
    <w:rsid w:val="006B11B7"/>
    <w:rsid w:val="006B1E5F"/>
    <w:rsid w:val="006B4E75"/>
    <w:rsid w:val="006B547C"/>
    <w:rsid w:val="006B553D"/>
    <w:rsid w:val="006B647A"/>
    <w:rsid w:val="006B6F27"/>
    <w:rsid w:val="006B7713"/>
    <w:rsid w:val="006C0728"/>
    <w:rsid w:val="006C181E"/>
    <w:rsid w:val="006C26AD"/>
    <w:rsid w:val="006C296C"/>
    <w:rsid w:val="006C3C91"/>
    <w:rsid w:val="006C5397"/>
    <w:rsid w:val="006D0B31"/>
    <w:rsid w:val="006D3507"/>
    <w:rsid w:val="006D7FE3"/>
    <w:rsid w:val="006E10BB"/>
    <w:rsid w:val="006E20DD"/>
    <w:rsid w:val="006E2905"/>
    <w:rsid w:val="006E2E79"/>
    <w:rsid w:val="006E480E"/>
    <w:rsid w:val="006E5CBE"/>
    <w:rsid w:val="006E6294"/>
    <w:rsid w:val="006E63F2"/>
    <w:rsid w:val="006E63F4"/>
    <w:rsid w:val="006E7643"/>
    <w:rsid w:val="006F24CB"/>
    <w:rsid w:val="006F2B07"/>
    <w:rsid w:val="006F481D"/>
    <w:rsid w:val="006F6336"/>
    <w:rsid w:val="006F75E5"/>
    <w:rsid w:val="007055F9"/>
    <w:rsid w:val="00710B7D"/>
    <w:rsid w:val="007121E7"/>
    <w:rsid w:val="00713B9C"/>
    <w:rsid w:val="00714006"/>
    <w:rsid w:val="00714191"/>
    <w:rsid w:val="007142DA"/>
    <w:rsid w:val="0071471F"/>
    <w:rsid w:val="00714AD1"/>
    <w:rsid w:val="007159C3"/>
    <w:rsid w:val="0071675A"/>
    <w:rsid w:val="00717474"/>
    <w:rsid w:val="007206B1"/>
    <w:rsid w:val="00721E5C"/>
    <w:rsid w:val="007220EE"/>
    <w:rsid w:val="007223E0"/>
    <w:rsid w:val="007231B1"/>
    <w:rsid w:val="0072387D"/>
    <w:rsid w:val="007251F0"/>
    <w:rsid w:val="00725AAB"/>
    <w:rsid w:val="0072609D"/>
    <w:rsid w:val="00727781"/>
    <w:rsid w:val="00727D00"/>
    <w:rsid w:val="00732E48"/>
    <w:rsid w:val="0073579A"/>
    <w:rsid w:val="0073683D"/>
    <w:rsid w:val="00736AB9"/>
    <w:rsid w:val="00736B30"/>
    <w:rsid w:val="00736C16"/>
    <w:rsid w:val="00736E3D"/>
    <w:rsid w:val="00737746"/>
    <w:rsid w:val="00740CB2"/>
    <w:rsid w:val="00742877"/>
    <w:rsid w:val="00745D6F"/>
    <w:rsid w:val="00751BA1"/>
    <w:rsid w:val="00753381"/>
    <w:rsid w:val="007535A3"/>
    <w:rsid w:val="007556CD"/>
    <w:rsid w:val="00757270"/>
    <w:rsid w:val="00757EC7"/>
    <w:rsid w:val="00757EEA"/>
    <w:rsid w:val="007629B5"/>
    <w:rsid w:val="00762DD0"/>
    <w:rsid w:val="00763A25"/>
    <w:rsid w:val="007644AD"/>
    <w:rsid w:val="007666C3"/>
    <w:rsid w:val="00770FB9"/>
    <w:rsid w:val="00772F63"/>
    <w:rsid w:val="00775C46"/>
    <w:rsid w:val="00780292"/>
    <w:rsid w:val="0078047B"/>
    <w:rsid w:val="00780E4B"/>
    <w:rsid w:val="0078116A"/>
    <w:rsid w:val="007825AD"/>
    <w:rsid w:val="0078663A"/>
    <w:rsid w:val="007908F8"/>
    <w:rsid w:val="00790B46"/>
    <w:rsid w:val="007918C6"/>
    <w:rsid w:val="007923DB"/>
    <w:rsid w:val="0079240E"/>
    <w:rsid w:val="007934E2"/>
    <w:rsid w:val="00794099"/>
    <w:rsid w:val="00794372"/>
    <w:rsid w:val="00795CFE"/>
    <w:rsid w:val="007969BE"/>
    <w:rsid w:val="0079769D"/>
    <w:rsid w:val="007A0B6B"/>
    <w:rsid w:val="007A176F"/>
    <w:rsid w:val="007A466E"/>
    <w:rsid w:val="007A48E0"/>
    <w:rsid w:val="007A4B7F"/>
    <w:rsid w:val="007A52BD"/>
    <w:rsid w:val="007A66A3"/>
    <w:rsid w:val="007A7B2F"/>
    <w:rsid w:val="007B01B8"/>
    <w:rsid w:val="007B14FC"/>
    <w:rsid w:val="007B1877"/>
    <w:rsid w:val="007B3DB9"/>
    <w:rsid w:val="007B4C2D"/>
    <w:rsid w:val="007B6DE0"/>
    <w:rsid w:val="007B7D80"/>
    <w:rsid w:val="007C0768"/>
    <w:rsid w:val="007C1C67"/>
    <w:rsid w:val="007C2894"/>
    <w:rsid w:val="007C2E72"/>
    <w:rsid w:val="007C4DEA"/>
    <w:rsid w:val="007C74ED"/>
    <w:rsid w:val="007D03E9"/>
    <w:rsid w:val="007D0C78"/>
    <w:rsid w:val="007D4025"/>
    <w:rsid w:val="007D60D1"/>
    <w:rsid w:val="007D6FD1"/>
    <w:rsid w:val="007E074D"/>
    <w:rsid w:val="007E25F2"/>
    <w:rsid w:val="007E4A33"/>
    <w:rsid w:val="007E55D1"/>
    <w:rsid w:val="007E5B91"/>
    <w:rsid w:val="007E777A"/>
    <w:rsid w:val="007F319E"/>
    <w:rsid w:val="007F391F"/>
    <w:rsid w:val="007F3F33"/>
    <w:rsid w:val="007F3F6F"/>
    <w:rsid w:val="007F4089"/>
    <w:rsid w:val="007F4C60"/>
    <w:rsid w:val="007F65C5"/>
    <w:rsid w:val="007F6E22"/>
    <w:rsid w:val="007F7414"/>
    <w:rsid w:val="007F7D6C"/>
    <w:rsid w:val="0080042D"/>
    <w:rsid w:val="008029B0"/>
    <w:rsid w:val="00802C5A"/>
    <w:rsid w:val="00804585"/>
    <w:rsid w:val="0080569B"/>
    <w:rsid w:val="00806418"/>
    <w:rsid w:val="008072D8"/>
    <w:rsid w:val="00810A4A"/>
    <w:rsid w:val="008122B6"/>
    <w:rsid w:val="00813616"/>
    <w:rsid w:val="00815324"/>
    <w:rsid w:val="0081652C"/>
    <w:rsid w:val="00817BC8"/>
    <w:rsid w:val="008203C7"/>
    <w:rsid w:val="008205E9"/>
    <w:rsid w:val="00820898"/>
    <w:rsid w:val="00822A31"/>
    <w:rsid w:val="00824B39"/>
    <w:rsid w:val="00832ACD"/>
    <w:rsid w:val="008351E5"/>
    <w:rsid w:val="008402DA"/>
    <w:rsid w:val="00844002"/>
    <w:rsid w:val="008444BF"/>
    <w:rsid w:val="00844AAB"/>
    <w:rsid w:val="00844B0D"/>
    <w:rsid w:val="008456ED"/>
    <w:rsid w:val="0085036A"/>
    <w:rsid w:val="00851AED"/>
    <w:rsid w:val="00851CD6"/>
    <w:rsid w:val="00851E79"/>
    <w:rsid w:val="008544D6"/>
    <w:rsid w:val="00855674"/>
    <w:rsid w:val="00861D42"/>
    <w:rsid w:val="00862464"/>
    <w:rsid w:val="008624E2"/>
    <w:rsid w:val="00864251"/>
    <w:rsid w:val="00867F6A"/>
    <w:rsid w:val="008727C3"/>
    <w:rsid w:val="008735A3"/>
    <w:rsid w:val="00874233"/>
    <w:rsid w:val="0087545D"/>
    <w:rsid w:val="00876DED"/>
    <w:rsid w:val="0088170F"/>
    <w:rsid w:val="00883ED9"/>
    <w:rsid w:val="00885605"/>
    <w:rsid w:val="0088580C"/>
    <w:rsid w:val="00885F93"/>
    <w:rsid w:val="00895748"/>
    <w:rsid w:val="00896BBF"/>
    <w:rsid w:val="00896D5F"/>
    <w:rsid w:val="008A0AEB"/>
    <w:rsid w:val="008A1D04"/>
    <w:rsid w:val="008A28FE"/>
    <w:rsid w:val="008A67EC"/>
    <w:rsid w:val="008B06D1"/>
    <w:rsid w:val="008B0AC5"/>
    <w:rsid w:val="008B2CCE"/>
    <w:rsid w:val="008B38B4"/>
    <w:rsid w:val="008B5170"/>
    <w:rsid w:val="008B7984"/>
    <w:rsid w:val="008C36A1"/>
    <w:rsid w:val="008C5A23"/>
    <w:rsid w:val="008C671A"/>
    <w:rsid w:val="008C6DCF"/>
    <w:rsid w:val="008C71FB"/>
    <w:rsid w:val="008D104F"/>
    <w:rsid w:val="008D2098"/>
    <w:rsid w:val="008D69E9"/>
    <w:rsid w:val="008D6E09"/>
    <w:rsid w:val="008D7340"/>
    <w:rsid w:val="008E0C81"/>
    <w:rsid w:val="008E196A"/>
    <w:rsid w:val="008E1A93"/>
    <w:rsid w:val="008E1CED"/>
    <w:rsid w:val="008E264B"/>
    <w:rsid w:val="008E270C"/>
    <w:rsid w:val="008E5686"/>
    <w:rsid w:val="008F43D3"/>
    <w:rsid w:val="008F5373"/>
    <w:rsid w:val="008F67F7"/>
    <w:rsid w:val="00902362"/>
    <w:rsid w:val="00902734"/>
    <w:rsid w:val="00907168"/>
    <w:rsid w:val="00911416"/>
    <w:rsid w:val="00913946"/>
    <w:rsid w:val="00913F95"/>
    <w:rsid w:val="009177C3"/>
    <w:rsid w:val="009203E3"/>
    <w:rsid w:val="00920644"/>
    <w:rsid w:val="00920CC8"/>
    <w:rsid w:val="00922F9C"/>
    <w:rsid w:val="009238CC"/>
    <w:rsid w:val="00924340"/>
    <w:rsid w:val="00930B02"/>
    <w:rsid w:val="0093238D"/>
    <w:rsid w:val="009324A9"/>
    <w:rsid w:val="0093282F"/>
    <w:rsid w:val="00933194"/>
    <w:rsid w:val="009347AD"/>
    <w:rsid w:val="00934837"/>
    <w:rsid w:val="009365F1"/>
    <w:rsid w:val="00942E89"/>
    <w:rsid w:val="0094318F"/>
    <w:rsid w:val="00943847"/>
    <w:rsid w:val="00944085"/>
    <w:rsid w:val="00944546"/>
    <w:rsid w:val="00945E5D"/>
    <w:rsid w:val="00945EAC"/>
    <w:rsid w:val="00951922"/>
    <w:rsid w:val="00955C70"/>
    <w:rsid w:val="00956CC8"/>
    <w:rsid w:val="00957A0A"/>
    <w:rsid w:val="00960AFE"/>
    <w:rsid w:val="00964081"/>
    <w:rsid w:val="00965E4A"/>
    <w:rsid w:val="00965FF1"/>
    <w:rsid w:val="00970450"/>
    <w:rsid w:val="00972CEE"/>
    <w:rsid w:val="00974C8D"/>
    <w:rsid w:val="00974E8B"/>
    <w:rsid w:val="009753CA"/>
    <w:rsid w:val="009764B8"/>
    <w:rsid w:val="0098140F"/>
    <w:rsid w:val="009817A1"/>
    <w:rsid w:val="0098286F"/>
    <w:rsid w:val="0098379A"/>
    <w:rsid w:val="00984F5B"/>
    <w:rsid w:val="00985EBD"/>
    <w:rsid w:val="009910F0"/>
    <w:rsid w:val="00997119"/>
    <w:rsid w:val="009A0BE6"/>
    <w:rsid w:val="009A1C16"/>
    <w:rsid w:val="009A1F0C"/>
    <w:rsid w:val="009A3231"/>
    <w:rsid w:val="009A3635"/>
    <w:rsid w:val="009A45C4"/>
    <w:rsid w:val="009A5C8D"/>
    <w:rsid w:val="009A6179"/>
    <w:rsid w:val="009A67DA"/>
    <w:rsid w:val="009A6810"/>
    <w:rsid w:val="009B169D"/>
    <w:rsid w:val="009B1DBB"/>
    <w:rsid w:val="009B3611"/>
    <w:rsid w:val="009B6918"/>
    <w:rsid w:val="009B69AE"/>
    <w:rsid w:val="009B69B7"/>
    <w:rsid w:val="009B7E54"/>
    <w:rsid w:val="009C0E93"/>
    <w:rsid w:val="009C38F4"/>
    <w:rsid w:val="009C5A0D"/>
    <w:rsid w:val="009C72F2"/>
    <w:rsid w:val="009C7E8C"/>
    <w:rsid w:val="009D0CA5"/>
    <w:rsid w:val="009D2C4A"/>
    <w:rsid w:val="009D2E21"/>
    <w:rsid w:val="009D4DFE"/>
    <w:rsid w:val="009D75AF"/>
    <w:rsid w:val="009D7AB6"/>
    <w:rsid w:val="009E3BAE"/>
    <w:rsid w:val="009E7096"/>
    <w:rsid w:val="009F0212"/>
    <w:rsid w:val="009F0E81"/>
    <w:rsid w:val="009F13C6"/>
    <w:rsid w:val="009F29E9"/>
    <w:rsid w:val="009F362A"/>
    <w:rsid w:val="009F5C10"/>
    <w:rsid w:val="009F74DC"/>
    <w:rsid w:val="00A012CD"/>
    <w:rsid w:val="00A01D38"/>
    <w:rsid w:val="00A0207E"/>
    <w:rsid w:val="00A06C5B"/>
    <w:rsid w:val="00A12AA8"/>
    <w:rsid w:val="00A12DD9"/>
    <w:rsid w:val="00A13127"/>
    <w:rsid w:val="00A14BA7"/>
    <w:rsid w:val="00A14E09"/>
    <w:rsid w:val="00A1527D"/>
    <w:rsid w:val="00A15C5B"/>
    <w:rsid w:val="00A172CF"/>
    <w:rsid w:val="00A17948"/>
    <w:rsid w:val="00A2061A"/>
    <w:rsid w:val="00A22231"/>
    <w:rsid w:val="00A24C1B"/>
    <w:rsid w:val="00A277C7"/>
    <w:rsid w:val="00A30165"/>
    <w:rsid w:val="00A33978"/>
    <w:rsid w:val="00A35FA8"/>
    <w:rsid w:val="00A36BFA"/>
    <w:rsid w:val="00A37218"/>
    <w:rsid w:val="00A372AC"/>
    <w:rsid w:val="00A37894"/>
    <w:rsid w:val="00A408C8"/>
    <w:rsid w:val="00A41F73"/>
    <w:rsid w:val="00A4700E"/>
    <w:rsid w:val="00A50D97"/>
    <w:rsid w:val="00A51CD5"/>
    <w:rsid w:val="00A53511"/>
    <w:rsid w:val="00A53C3B"/>
    <w:rsid w:val="00A5626C"/>
    <w:rsid w:val="00A56E16"/>
    <w:rsid w:val="00A576B9"/>
    <w:rsid w:val="00A61924"/>
    <w:rsid w:val="00A61E7C"/>
    <w:rsid w:val="00A631A8"/>
    <w:rsid w:val="00A63D46"/>
    <w:rsid w:val="00A64E21"/>
    <w:rsid w:val="00A655B8"/>
    <w:rsid w:val="00A6601E"/>
    <w:rsid w:val="00A70906"/>
    <w:rsid w:val="00A71C1A"/>
    <w:rsid w:val="00A7332A"/>
    <w:rsid w:val="00A75BAE"/>
    <w:rsid w:val="00A76B29"/>
    <w:rsid w:val="00A77FCE"/>
    <w:rsid w:val="00A8039A"/>
    <w:rsid w:val="00A82C1D"/>
    <w:rsid w:val="00A84053"/>
    <w:rsid w:val="00A845B3"/>
    <w:rsid w:val="00A864F5"/>
    <w:rsid w:val="00A876FE"/>
    <w:rsid w:val="00A87C0F"/>
    <w:rsid w:val="00A9327B"/>
    <w:rsid w:val="00A95C68"/>
    <w:rsid w:val="00A9618E"/>
    <w:rsid w:val="00A97A92"/>
    <w:rsid w:val="00AA0544"/>
    <w:rsid w:val="00AA0C0A"/>
    <w:rsid w:val="00AA2559"/>
    <w:rsid w:val="00AA4D3A"/>
    <w:rsid w:val="00AA6B87"/>
    <w:rsid w:val="00AB1D1E"/>
    <w:rsid w:val="00AB2CDF"/>
    <w:rsid w:val="00AB4F25"/>
    <w:rsid w:val="00AB6E1F"/>
    <w:rsid w:val="00AC03BE"/>
    <w:rsid w:val="00AC23C8"/>
    <w:rsid w:val="00AC289C"/>
    <w:rsid w:val="00AC580E"/>
    <w:rsid w:val="00AC7AE5"/>
    <w:rsid w:val="00AD02A5"/>
    <w:rsid w:val="00AD04D3"/>
    <w:rsid w:val="00AD0754"/>
    <w:rsid w:val="00AD1AEE"/>
    <w:rsid w:val="00AD3519"/>
    <w:rsid w:val="00AD3558"/>
    <w:rsid w:val="00AD3D80"/>
    <w:rsid w:val="00AD3E69"/>
    <w:rsid w:val="00AD416A"/>
    <w:rsid w:val="00AD4B10"/>
    <w:rsid w:val="00AD62B5"/>
    <w:rsid w:val="00AD7A3C"/>
    <w:rsid w:val="00AE0419"/>
    <w:rsid w:val="00AE2537"/>
    <w:rsid w:val="00AE2DEC"/>
    <w:rsid w:val="00AE35B0"/>
    <w:rsid w:val="00AE5EF0"/>
    <w:rsid w:val="00AE6251"/>
    <w:rsid w:val="00AF21EC"/>
    <w:rsid w:val="00AF4225"/>
    <w:rsid w:val="00AF5639"/>
    <w:rsid w:val="00AF6364"/>
    <w:rsid w:val="00B03E96"/>
    <w:rsid w:val="00B04ED6"/>
    <w:rsid w:val="00B04F8A"/>
    <w:rsid w:val="00B06260"/>
    <w:rsid w:val="00B065C5"/>
    <w:rsid w:val="00B16676"/>
    <w:rsid w:val="00B16A6D"/>
    <w:rsid w:val="00B21140"/>
    <w:rsid w:val="00B23193"/>
    <w:rsid w:val="00B24B8F"/>
    <w:rsid w:val="00B2726A"/>
    <w:rsid w:val="00B30CC3"/>
    <w:rsid w:val="00B311AB"/>
    <w:rsid w:val="00B344E5"/>
    <w:rsid w:val="00B359CC"/>
    <w:rsid w:val="00B35E35"/>
    <w:rsid w:val="00B361F8"/>
    <w:rsid w:val="00B40C19"/>
    <w:rsid w:val="00B40F14"/>
    <w:rsid w:val="00B40F66"/>
    <w:rsid w:val="00B41097"/>
    <w:rsid w:val="00B42B7A"/>
    <w:rsid w:val="00B44360"/>
    <w:rsid w:val="00B44A86"/>
    <w:rsid w:val="00B454C4"/>
    <w:rsid w:val="00B47E4A"/>
    <w:rsid w:val="00B52510"/>
    <w:rsid w:val="00B529DA"/>
    <w:rsid w:val="00B562B0"/>
    <w:rsid w:val="00B564A3"/>
    <w:rsid w:val="00B575CC"/>
    <w:rsid w:val="00B60843"/>
    <w:rsid w:val="00B6173F"/>
    <w:rsid w:val="00B625FC"/>
    <w:rsid w:val="00B630D7"/>
    <w:rsid w:val="00B63ADD"/>
    <w:rsid w:val="00B6475D"/>
    <w:rsid w:val="00B65891"/>
    <w:rsid w:val="00B67E97"/>
    <w:rsid w:val="00B718F0"/>
    <w:rsid w:val="00B71DCC"/>
    <w:rsid w:val="00B73EFF"/>
    <w:rsid w:val="00B746AC"/>
    <w:rsid w:val="00B7503B"/>
    <w:rsid w:val="00B75136"/>
    <w:rsid w:val="00B75152"/>
    <w:rsid w:val="00B75571"/>
    <w:rsid w:val="00B7653B"/>
    <w:rsid w:val="00B771A1"/>
    <w:rsid w:val="00B7723B"/>
    <w:rsid w:val="00B77285"/>
    <w:rsid w:val="00B77946"/>
    <w:rsid w:val="00B835C3"/>
    <w:rsid w:val="00B86B32"/>
    <w:rsid w:val="00B87FB6"/>
    <w:rsid w:val="00B91F08"/>
    <w:rsid w:val="00B9397F"/>
    <w:rsid w:val="00B94E24"/>
    <w:rsid w:val="00B96A3C"/>
    <w:rsid w:val="00B97229"/>
    <w:rsid w:val="00BA0BB9"/>
    <w:rsid w:val="00BA1538"/>
    <w:rsid w:val="00BA1EC3"/>
    <w:rsid w:val="00BA36B0"/>
    <w:rsid w:val="00BA3EDA"/>
    <w:rsid w:val="00BA4AF5"/>
    <w:rsid w:val="00BA4BFF"/>
    <w:rsid w:val="00BA538F"/>
    <w:rsid w:val="00BA57A6"/>
    <w:rsid w:val="00BA590C"/>
    <w:rsid w:val="00BA5FA4"/>
    <w:rsid w:val="00BA7CB6"/>
    <w:rsid w:val="00BA7EA3"/>
    <w:rsid w:val="00BB03DC"/>
    <w:rsid w:val="00BB15ED"/>
    <w:rsid w:val="00BB391F"/>
    <w:rsid w:val="00BB4CF6"/>
    <w:rsid w:val="00BB7652"/>
    <w:rsid w:val="00BB7B2E"/>
    <w:rsid w:val="00BC123B"/>
    <w:rsid w:val="00BC17F5"/>
    <w:rsid w:val="00BC34E8"/>
    <w:rsid w:val="00BC3BAB"/>
    <w:rsid w:val="00BC4914"/>
    <w:rsid w:val="00BC5E0E"/>
    <w:rsid w:val="00BD08B7"/>
    <w:rsid w:val="00BD1EBA"/>
    <w:rsid w:val="00BD2447"/>
    <w:rsid w:val="00BD247F"/>
    <w:rsid w:val="00BD5A64"/>
    <w:rsid w:val="00BD6879"/>
    <w:rsid w:val="00BD7512"/>
    <w:rsid w:val="00BE0C46"/>
    <w:rsid w:val="00BE153F"/>
    <w:rsid w:val="00BE171A"/>
    <w:rsid w:val="00BE25B9"/>
    <w:rsid w:val="00BE2A21"/>
    <w:rsid w:val="00BE3FBB"/>
    <w:rsid w:val="00BE432F"/>
    <w:rsid w:val="00BE51A1"/>
    <w:rsid w:val="00BE576A"/>
    <w:rsid w:val="00BE6878"/>
    <w:rsid w:val="00BE699D"/>
    <w:rsid w:val="00BF0609"/>
    <w:rsid w:val="00BF31E0"/>
    <w:rsid w:val="00BF79A7"/>
    <w:rsid w:val="00C02E64"/>
    <w:rsid w:val="00C03DAC"/>
    <w:rsid w:val="00C049AE"/>
    <w:rsid w:val="00C05FB7"/>
    <w:rsid w:val="00C105BE"/>
    <w:rsid w:val="00C1170D"/>
    <w:rsid w:val="00C11F5E"/>
    <w:rsid w:val="00C13D42"/>
    <w:rsid w:val="00C147C5"/>
    <w:rsid w:val="00C163BA"/>
    <w:rsid w:val="00C16CDE"/>
    <w:rsid w:val="00C17FBA"/>
    <w:rsid w:val="00C227A2"/>
    <w:rsid w:val="00C233BF"/>
    <w:rsid w:val="00C262BB"/>
    <w:rsid w:val="00C27725"/>
    <w:rsid w:val="00C27CDE"/>
    <w:rsid w:val="00C3433E"/>
    <w:rsid w:val="00C34CC7"/>
    <w:rsid w:val="00C40239"/>
    <w:rsid w:val="00C433AD"/>
    <w:rsid w:val="00C43E40"/>
    <w:rsid w:val="00C442F3"/>
    <w:rsid w:val="00C452DA"/>
    <w:rsid w:val="00C52E6A"/>
    <w:rsid w:val="00C53DE2"/>
    <w:rsid w:val="00C54370"/>
    <w:rsid w:val="00C54907"/>
    <w:rsid w:val="00C55877"/>
    <w:rsid w:val="00C56F78"/>
    <w:rsid w:val="00C61E79"/>
    <w:rsid w:val="00C6281F"/>
    <w:rsid w:val="00C62B25"/>
    <w:rsid w:val="00C632FB"/>
    <w:rsid w:val="00C640B0"/>
    <w:rsid w:val="00C65F71"/>
    <w:rsid w:val="00C70399"/>
    <w:rsid w:val="00C70DBF"/>
    <w:rsid w:val="00C712D1"/>
    <w:rsid w:val="00C721FB"/>
    <w:rsid w:val="00C77511"/>
    <w:rsid w:val="00C81A45"/>
    <w:rsid w:val="00C81E38"/>
    <w:rsid w:val="00C83277"/>
    <w:rsid w:val="00C83E8E"/>
    <w:rsid w:val="00C84503"/>
    <w:rsid w:val="00C851D9"/>
    <w:rsid w:val="00C8554B"/>
    <w:rsid w:val="00C85C53"/>
    <w:rsid w:val="00C9660F"/>
    <w:rsid w:val="00C97B93"/>
    <w:rsid w:val="00CA3C19"/>
    <w:rsid w:val="00CA55E4"/>
    <w:rsid w:val="00CA75DC"/>
    <w:rsid w:val="00CA76DB"/>
    <w:rsid w:val="00CA7E19"/>
    <w:rsid w:val="00CB0BAD"/>
    <w:rsid w:val="00CB1558"/>
    <w:rsid w:val="00CB1FE2"/>
    <w:rsid w:val="00CB2F95"/>
    <w:rsid w:val="00CB385D"/>
    <w:rsid w:val="00CB5D1A"/>
    <w:rsid w:val="00CB76CF"/>
    <w:rsid w:val="00CC0F83"/>
    <w:rsid w:val="00CC11EB"/>
    <w:rsid w:val="00CC463C"/>
    <w:rsid w:val="00CC4B81"/>
    <w:rsid w:val="00CC4C51"/>
    <w:rsid w:val="00CC7CB6"/>
    <w:rsid w:val="00CD0787"/>
    <w:rsid w:val="00CD0B00"/>
    <w:rsid w:val="00CD2DA4"/>
    <w:rsid w:val="00CD3B4F"/>
    <w:rsid w:val="00CD43C2"/>
    <w:rsid w:val="00CD45B6"/>
    <w:rsid w:val="00CE0B90"/>
    <w:rsid w:val="00CE0D10"/>
    <w:rsid w:val="00CE0FF8"/>
    <w:rsid w:val="00CE358E"/>
    <w:rsid w:val="00CE4881"/>
    <w:rsid w:val="00CE4FDC"/>
    <w:rsid w:val="00CF0B93"/>
    <w:rsid w:val="00CF13EF"/>
    <w:rsid w:val="00CF2181"/>
    <w:rsid w:val="00CF3068"/>
    <w:rsid w:val="00CF509D"/>
    <w:rsid w:val="00CF7873"/>
    <w:rsid w:val="00D05794"/>
    <w:rsid w:val="00D05C6C"/>
    <w:rsid w:val="00D11201"/>
    <w:rsid w:val="00D11B99"/>
    <w:rsid w:val="00D12999"/>
    <w:rsid w:val="00D13CCB"/>
    <w:rsid w:val="00D1569E"/>
    <w:rsid w:val="00D17410"/>
    <w:rsid w:val="00D2024B"/>
    <w:rsid w:val="00D230A0"/>
    <w:rsid w:val="00D23B2C"/>
    <w:rsid w:val="00D24430"/>
    <w:rsid w:val="00D246C4"/>
    <w:rsid w:val="00D271D9"/>
    <w:rsid w:val="00D27D67"/>
    <w:rsid w:val="00D304BA"/>
    <w:rsid w:val="00D30EBE"/>
    <w:rsid w:val="00D3296F"/>
    <w:rsid w:val="00D34A74"/>
    <w:rsid w:val="00D36DDE"/>
    <w:rsid w:val="00D41C32"/>
    <w:rsid w:val="00D42940"/>
    <w:rsid w:val="00D43C88"/>
    <w:rsid w:val="00D44071"/>
    <w:rsid w:val="00D45AA2"/>
    <w:rsid w:val="00D47219"/>
    <w:rsid w:val="00D520B3"/>
    <w:rsid w:val="00D5260C"/>
    <w:rsid w:val="00D55104"/>
    <w:rsid w:val="00D563F2"/>
    <w:rsid w:val="00D5663D"/>
    <w:rsid w:val="00D57178"/>
    <w:rsid w:val="00D57F6B"/>
    <w:rsid w:val="00D610F9"/>
    <w:rsid w:val="00D6129F"/>
    <w:rsid w:val="00D61345"/>
    <w:rsid w:val="00D647F1"/>
    <w:rsid w:val="00D6782A"/>
    <w:rsid w:val="00D70A51"/>
    <w:rsid w:val="00D7346F"/>
    <w:rsid w:val="00D74324"/>
    <w:rsid w:val="00D74BFB"/>
    <w:rsid w:val="00D74C4E"/>
    <w:rsid w:val="00D77277"/>
    <w:rsid w:val="00D808AD"/>
    <w:rsid w:val="00D80E8F"/>
    <w:rsid w:val="00D829F1"/>
    <w:rsid w:val="00D83A0F"/>
    <w:rsid w:val="00D84CE2"/>
    <w:rsid w:val="00D85590"/>
    <w:rsid w:val="00D873DB"/>
    <w:rsid w:val="00D92634"/>
    <w:rsid w:val="00D9377F"/>
    <w:rsid w:val="00D956DA"/>
    <w:rsid w:val="00D95DE3"/>
    <w:rsid w:val="00D96DC4"/>
    <w:rsid w:val="00DA1772"/>
    <w:rsid w:val="00DA542D"/>
    <w:rsid w:val="00DA5461"/>
    <w:rsid w:val="00DA6065"/>
    <w:rsid w:val="00DA6071"/>
    <w:rsid w:val="00DA61D2"/>
    <w:rsid w:val="00DA629E"/>
    <w:rsid w:val="00DA6684"/>
    <w:rsid w:val="00DA6AA7"/>
    <w:rsid w:val="00DB0F35"/>
    <w:rsid w:val="00DB187E"/>
    <w:rsid w:val="00DB451C"/>
    <w:rsid w:val="00DB531D"/>
    <w:rsid w:val="00DB5340"/>
    <w:rsid w:val="00DB7296"/>
    <w:rsid w:val="00DB74B8"/>
    <w:rsid w:val="00DC07F8"/>
    <w:rsid w:val="00DC1738"/>
    <w:rsid w:val="00DC28C6"/>
    <w:rsid w:val="00DC2B17"/>
    <w:rsid w:val="00DC3B50"/>
    <w:rsid w:val="00DC41E2"/>
    <w:rsid w:val="00DD0B3C"/>
    <w:rsid w:val="00DD432E"/>
    <w:rsid w:val="00DD4A96"/>
    <w:rsid w:val="00DD577A"/>
    <w:rsid w:val="00DD5B5B"/>
    <w:rsid w:val="00DD5D4F"/>
    <w:rsid w:val="00DD6D19"/>
    <w:rsid w:val="00DE360B"/>
    <w:rsid w:val="00DE57C5"/>
    <w:rsid w:val="00DE6008"/>
    <w:rsid w:val="00DF00E6"/>
    <w:rsid w:val="00DF2603"/>
    <w:rsid w:val="00DF2E27"/>
    <w:rsid w:val="00DF397C"/>
    <w:rsid w:val="00DF64ED"/>
    <w:rsid w:val="00DF6ED8"/>
    <w:rsid w:val="00E00C9E"/>
    <w:rsid w:val="00E00CBF"/>
    <w:rsid w:val="00E016E0"/>
    <w:rsid w:val="00E03F18"/>
    <w:rsid w:val="00E052C5"/>
    <w:rsid w:val="00E05F3D"/>
    <w:rsid w:val="00E06C44"/>
    <w:rsid w:val="00E07E69"/>
    <w:rsid w:val="00E11DF5"/>
    <w:rsid w:val="00E12AB9"/>
    <w:rsid w:val="00E16155"/>
    <w:rsid w:val="00E2353B"/>
    <w:rsid w:val="00E238C1"/>
    <w:rsid w:val="00E23F1F"/>
    <w:rsid w:val="00E24816"/>
    <w:rsid w:val="00E2573B"/>
    <w:rsid w:val="00E2636B"/>
    <w:rsid w:val="00E26571"/>
    <w:rsid w:val="00E27B36"/>
    <w:rsid w:val="00E304AA"/>
    <w:rsid w:val="00E335B7"/>
    <w:rsid w:val="00E34B0E"/>
    <w:rsid w:val="00E34D79"/>
    <w:rsid w:val="00E34FBB"/>
    <w:rsid w:val="00E3576B"/>
    <w:rsid w:val="00E36930"/>
    <w:rsid w:val="00E409D4"/>
    <w:rsid w:val="00E415C1"/>
    <w:rsid w:val="00E41984"/>
    <w:rsid w:val="00E43305"/>
    <w:rsid w:val="00E4333C"/>
    <w:rsid w:val="00E447BC"/>
    <w:rsid w:val="00E4512C"/>
    <w:rsid w:val="00E516D2"/>
    <w:rsid w:val="00E51B78"/>
    <w:rsid w:val="00E52404"/>
    <w:rsid w:val="00E52A73"/>
    <w:rsid w:val="00E52CC4"/>
    <w:rsid w:val="00E5390F"/>
    <w:rsid w:val="00E53D62"/>
    <w:rsid w:val="00E61116"/>
    <w:rsid w:val="00E62BC1"/>
    <w:rsid w:val="00E62E73"/>
    <w:rsid w:val="00E62EFC"/>
    <w:rsid w:val="00E6301D"/>
    <w:rsid w:val="00E66CF6"/>
    <w:rsid w:val="00E67C15"/>
    <w:rsid w:val="00E7053B"/>
    <w:rsid w:val="00E71C4D"/>
    <w:rsid w:val="00E71FED"/>
    <w:rsid w:val="00E7326C"/>
    <w:rsid w:val="00E7392A"/>
    <w:rsid w:val="00E77B62"/>
    <w:rsid w:val="00E77D9F"/>
    <w:rsid w:val="00E80252"/>
    <w:rsid w:val="00E810FE"/>
    <w:rsid w:val="00E81ACB"/>
    <w:rsid w:val="00E842B6"/>
    <w:rsid w:val="00E862D0"/>
    <w:rsid w:val="00E86752"/>
    <w:rsid w:val="00E914C9"/>
    <w:rsid w:val="00E91C8A"/>
    <w:rsid w:val="00E921F2"/>
    <w:rsid w:val="00E93254"/>
    <w:rsid w:val="00E944A7"/>
    <w:rsid w:val="00E94F17"/>
    <w:rsid w:val="00E971C9"/>
    <w:rsid w:val="00E97263"/>
    <w:rsid w:val="00EA26A4"/>
    <w:rsid w:val="00EA27BA"/>
    <w:rsid w:val="00EA560B"/>
    <w:rsid w:val="00EA58D3"/>
    <w:rsid w:val="00EA61EB"/>
    <w:rsid w:val="00EA633B"/>
    <w:rsid w:val="00EA664F"/>
    <w:rsid w:val="00EA6F6C"/>
    <w:rsid w:val="00EA7733"/>
    <w:rsid w:val="00EA780B"/>
    <w:rsid w:val="00EB198C"/>
    <w:rsid w:val="00EB2EFA"/>
    <w:rsid w:val="00EB6D90"/>
    <w:rsid w:val="00EB79BE"/>
    <w:rsid w:val="00EC0F2C"/>
    <w:rsid w:val="00EC17D8"/>
    <w:rsid w:val="00EC33C8"/>
    <w:rsid w:val="00EC365B"/>
    <w:rsid w:val="00EC50F0"/>
    <w:rsid w:val="00EC5BDB"/>
    <w:rsid w:val="00EC6B24"/>
    <w:rsid w:val="00ED2DCD"/>
    <w:rsid w:val="00ED47A0"/>
    <w:rsid w:val="00ED545F"/>
    <w:rsid w:val="00ED566A"/>
    <w:rsid w:val="00ED6C78"/>
    <w:rsid w:val="00ED6CA4"/>
    <w:rsid w:val="00EE0C1F"/>
    <w:rsid w:val="00EE20CE"/>
    <w:rsid w:val="00EE2C8F"/>
    <w:rsid w:val="00EE3299"/>
    <w:rsid w:val="00EE3E7E"/>
    <w:rsid w:val="00EE51DF"/>
    <w:rsid w:val="00EE54AA"/>
    <w:rsid w:val="00EE5AB8"/>
    <w:rsid w:val="00EE67DC"/>
    <w:rsid w:val="00EE7A33"/>
    <w:rsid w:val="00EF070B"/>
    <w:rsid w:val="00EF1060"/>
    <w:rsid w:val="00EF1AE0"/>
    <w:rsid w:val="00EF1ED9"/>
    <w:rsid w:val="00EF1EDD"/>
    <w:rsid w:val="00EF2107"/>
    <w:rsid w:val="00EF3911"/>
    <w:rsid w:val="00EF42BF"/>
    <w:rsid w:val="00EF589F"/>
    <w:rsid w:val="00EF6ED9"/>
    <w:rsid w:val="00EF7E82"/>
    <w:rsid w:val="00F01A50"/>
    <w:rsid w:val="00F01F6E"/>
    <w:rsid w:val="00F028C9"/>
    <w:rsid w:val="00F04F29"/>
    <w:rsid w:val="00F05953"/>
    <w:rsid w:val="00F061F6"/>
    <w:rsid w:val="00F0639C"/>
    <w:rsid w:val="00F06615"/>
    <w:rsid w:val="00F0787E"/>
    <w:rsid w:val="00F07C99"/>
    <w:rsid w:val="00F10124"/>
    <w:rsid w:val="00F15952"/>
    <w:rsid w:val="00F1660C"/>
    <w:rsid w:val="00F17147"/>
    <w:rsid w:val="00F20FDF"/>
    <w:rsid w:val="00F23A2E"/>
    <w:rsid w:val="00F24828"/>
    <w:rsid w:val="00F2586B"/>
    <w:rsid w:val="00F25A9A"/>
    <w:rsid w:val="00F279F9"/>
    <w:rsid w:val="00F303B5"/>
    <w:rsid w:val="00F313AB"/>
    <w:rsid w:val="00F35FBB"/>
    <w:rsid w:val="00F375CF"/>
    <w:rsid w:val="00F400A7"/>
    <w:rsid w:val="00F40331"/>
    <w:rsid w:val="00F4131A"/>
    <w:rsid w:val="00F42355"/>
    <w:rsid w:val="00F423AC"/>
    <w:rsid w:val="00F42A95"/>
    <w:rsid w:val="00F42F77"/>
    <w:rsid w:val="00F47495"/>
    <w:rsid w:val="00F560DB"/>
    <w:rsid w:val="00F564DC"/>
    <w:rsid w:val="00F5652B"/>
    <w:rsid w:val="00F5697C"/>
    <w:rsid w:val="00F574DE"/>
    <w:rsid w:val="00F57CC6"/>
    <w:rsid w:val="00F607D4"/>
    <w:rsid w:val="00F61AEA"/>
    <w:rsid w:val="00F630A0"/>
    <w:rsid w:val="00F6452C"/>
    <w:rsid w:val="00F65883"/>
    <w:rsid w:val="00F72157"/>
    <w:rsid w:val="00F762A6"/>
    <w:rsid w:val="00F766D5"/>
    <w:rsid w:val="00F776D3"/>
    <w:rsid w:val="00F77D3C"/>
    <w:rsid w:val="00F80491"/>
    <w:rsid w:val="00F82E20"/>
    <w:rsid w:val="00F8306B"/>
    <w:rsid w:val="00F8461E"/>
    <w:rsid w:val="00F868FB"/>
    <w:rsid w:val="00F91B57"/>
    <w:rsid w:val="00F92768"/>
    <w:rsid w:val="00F94169"/>
    <w:rsid w:val="00F949F7"/>
    <w:rsid w:val="00F97397"/>
    <w:rsid w:val="00F97C07"/>
    <w:rsid w:val="00F97D5C"/>
    <w:rsid w:val="00FA1BC3"/>
    <w:rsid w:val="00FA1D14"/>
    <w:rsid w:val="00FA3382"/>
    <w:rsid w:val="00FA41EB"/>
    <w:rsid w:val="00FA63A7"/>
    <w:rsid w:val="00FA6FDA"/>
    <w:rsid w:val="00FA75C7"/>
    <w:rsid w:val="00FA77E4"/>
    <w:rsid w:val="00FB1E8F"/>
    <w:rsid w:val="00FB2416"/>
    <w:rsid w:val="00FB25C9"/>
    <w:rsid w:val="00FB311E"/>
    <w:rsid w:val="00FB33D2"/>
    <w:rsid w:val="00FB34EC"/>
    <w:rsid w:val="00FB3E04"/>
    <w:rsid w:val="00FC09B3"/>
    <w:rsid w:val="00FC0FCB"/>
    <w:rsid w:val="00FC491A"/>
    <w:rsid w:val="00FC6440"/>
    <w:rsid w:val="00FC663B"/>
    <w:rsid w:val="00FD03AF"/>
    <w:rsid w:val="00FD1B13"/>
    <w:rsid w:val="00FD3598"/>
    <w:rsid w:val="00FD3DE2"/>
    <w:rsid w:val="00FD4662"/>
    <w:rsid w:val="00FE0E9D"/>
    <w:rsid w:val="00FE1B57"/>
    <w:rsid w:val="00FE337B"/>
    <w:rsid w:val="00FE45EE"/>
    <w:rsid w:val="00FE4E98"/>
    <w:rsid w:val="00FE53C7"/>
    <w:rsid w:val="00FE586A"/>
    <w:rsid w:val="00FE714F"/>
    <w:rsid w:val="00FE7EDC"/>
    <w:rsid w:val="00FF032B"/>
    <w:rsid w:val="00FF0832"/>
    <w:rsid w:val="00FF182C"/>
    <w:rsid w:val="00FF1B20"/>
    <w:rsid w:val="00FF2864"/>
    <w:rsid w:val="00FF2C6D"/>
    <w:rsid w:val="00FF3AAA"/>
    <w:rsid w:val="00FF3F8A"/>
    <w:rsid w:val="00FF4AF8"/>
    <w:rsid w:val="00FF532B"/>
    <w:rsid w:val="01601D9A"/>
    <w:rsid w:val="02772609"/>
    <w:rsid w:val="02E60248"/>
    <w:rsid w:val="030E211F"/>
    <w:rsid w:val="0315459B"/>
    <w:rsid w:val="048605CC"/>
    <w:rsid w:val="05231695"/>
    <w:rsid w:val="06232761"/>
    <w:rsid w:val="06327F57"/>
    <w:rsid w:val="07210C19"/>
    <w:rsid w:val="077C7F9A"/>
    <w:rsid w:val="079694E4"/>
    <w:rsid w:val="07CD4837"/>
    <w:rsid w:val="0802595E"/>
    <w:rsid w:val="09477D57"/>
    <w:rsid w:val="09C4698F"/>
    <w:rsid w:val="09D71921"/>
    <w:rsid w:val="0A0D7482"/>
    <w:rsid w:val="0ABC614D"/>
    <w:rsid w:val="0AF97BD2"/>
    <w:rsid w:val="0B04109F"/>
    <w:rsid w:val="0B44210D"/>
    <w:rsid w:val="0C4524C0"/>
    <w:rsid w:val="0CA0054D"/>
    <w:rsid w:val="0CDE6ACB"/>
    <w:rsid w:val="0DFFA9CA"/>
    <w:rsid w:val="0E362D80"/>
    <w:rsid w:val="0EE56413"/>
    <w:rsid w:val="0EF72CD0"/>
    <w:rsid w:val="0F594DF1"/>
    <w:rsid w:val="0F9B186E"/>
    <w:rsid w:val="0FBF65FA"/>
    <w:rsid w:val="0FF9F602"/>
    <w:rsid w:val="0FFA8DF2"/>
    <w:rsid w:val="0FFFFD46"/>
    <w:rsid w:val="11E440F4"/>
    <w:rsid w:val="12386BAB"/>
    <w:rsid w:val="128D50B3"/>
    <w:rsid w:val="13750F14"/>
    <w:rsid w:val="140603E8"/>
    <w:rsid w:val="149B604E"/>
    <w:rsid w:val="15474168"/>
    <w:rsid w:val="15FED0FB"/>
    <w:rsid w:val="16CB2B71"/>
    <w:rsid w:val="16E017BE"/>
    <w:rsid w:val="16FB60DC"/>
    <w:rsid w:val="16FDA0BA"/>
    <w:rsid w:val="17967594"/>
    <w:rsid w:val="179DA7FE"/>
    <w:rsid w:val="17F73CB3"/>
    <w:rsid w:val="18527AE2"/>
    <w:rsid w:val="187BFF1A"/>
    <w:rsid w:val="187FE981"/>
    <w:rsid w:val="1889582C"/>
    <w:rsid w:val="19F46D23"/>
    <w:rsid w:val="1AB01A2C"/>
    <w:rsid w:val="1AE741C9"/>
    <w:rsid w:val="1B1B40F7"/>
    <w:rsid w:val="1BC80052"/>
    <w:rsid w:val="1BD44CDD"/>
    <w:rsid w:val="1BFA5FE0"/>
    <w:rsid w:val="1C5D1DF6"/>
    <w:rsid w:val="1CFE0380"/>
    <w:rsid w:val="1D847D29"/>
    <w:rsid w:val="1EDFBC92"/>
    <w:rsid w:val="1EFFDD61"/>
    <w:rsid w:val="1F5FC8E8"/>
    <w:rsid w:val="1F6785EB"/>
    <w:rsid w:val="1FAE09DF"/>
    <w:rsid w:val="1FC9A156"/>
    <w:rsid w:val="1FCD5101"/>
    <w:rsid w:val="1FDF0FC0"/>
    <w:rsid w:val="1FDFBABE"/>
    <w:rsid w:val="1FE8163D"/>
    <w:rsid w:val="1FF6FFC2"/>
    <w:rsid w:val="1FF8A85F"/>
    <w:rsid w:val="1FFF3ED1"/>
    <w:rsid w:val="20976359"/>
    <w:rsid w:val="215A189D"/>
    <w:rsid w:val="21DB3CA3"/>
    <w:rsid w:val="21F5CF79"/>
    <w:rsid w:val="22354A95"/>
    <w:rsid w:val="233018FC"/>
    <w:rsid w:val="23A2AFED"/>
    <w:rsid w:val="23C56D0E"/>
    <w:rsid w:val="23FD3576"/>
    <w:rsid w:val="23FF1E38"/>
    <w:rsid w:val="24027603"/>
    <w:rsid w:val="250A5BD3"/>
    <w:rsid w:val="25467FE6"/>
    <w:rsid w:val="260C10FE"/>
    <w:rsid w:val="275E1AD1"/>
    <w:rsid w:val="277F254E"/>
    <w:rsid w:val="277FC147"/>
    <w:rsid w:val="278B5B9F"/>
    <w:rsid w:val="279E722F"/>
    <w:rsid w:val="27DFF4E2"/>
    <w:rsid w:val="282D49E6"/>
    <w:rsid w:val="285FB09D"/>
    <w:rsid w:val="290676DC"/>
    <w:rsid w:val="29CF38EE"/>
    <w:rsid w:val="2A620796"/>
    <w:rsid w:val="2AFC61F1"/>
    <w:rsid w:val="2B107D1E"/>
    <w:rsid w:val="2B36597A"/>
    <w:rsid w:val="2B7B3563"/>
    <w:rsid w:val="2B9F5B70"/>
    <w:rsid w:val="2BBE7DC9"/>
    <w:rsid w:val="2BFB5E49"/>
    <w:rsid w:val="2BFE5917"/>
    <w:rsid w:val="2BFFDC6B"/>
    <w:rsid w:val="2C462396"/>
    <w:rsid w:val="2C520B85"/>
    <w:rsid w:val="2CDF2725"/>
    <w:rsid w:val="2D4DC1F2"/>
    <w:rsid w:val="2D514B96"/>
    <w:rsid w:val="2DBB3332"/>
    <w:rsid w:val="2DBB7040"/>
    <w:rsid w:val="2DD02B38"/>
    <w:rsid w:val="2DEEBC82"/>
    <w:rsid w:val="2E0E2A95"/>
    <w:rsid w:val="2E3B050E"/>
    <w:rsid w:val="2E67A22C"/>
    <w:rsid w:val="2EF3E62B"/>
    <w:rsid w:val="2EF48DE6"/>
    <w:rsid w:val="2EF51490"/>
    <w:rsid w:val="2EF78FC6"/>
    <w:rsid w:val="2F5D7979"/>
    <w:rsid w:val="2F7F7270"/>
    <w:rsid w:val="2F9B10BE"/>
    <w:rsid w:val="2FB15E40"/>
    <w:rsid w:val="2FB18983"/>
    <w:rsid w:val="2FB4D891"/>
    <w:rsid w:val="2FDBF83C"/>
    <w:rsid w:val="2FE83B47"/>
    <w:rsid w:val="2FFD9EAB"/>
    <w:rsid w:val="2FFF13C9"/>
    <w:rsid w:val="30296190"/>
    <w:rsid w:val="307F4018"/>
    <w:rsid w:val="327412C8"/>
    <w:rsid w:val="32A20F48"/>
    <w:rsid w:val="32B9AB8B"/>
    <w:rsid w:val="32C37A8B"/>
    <w:rsid w:val="32DD57F8"/>
    <w:rsid w:val="336B3CBF"/>
    <w:rsid w:val="33744CE1"/>
    <w:rsid w:val="337F2C82"/>
    <w:rsid w:val="33C90C05"/>
    <w:rsid w:val="33DB355C"/>
    <w:rsid w:val="33E938DF"/>
    <w:rsid w:val="34342713"/>
    <w:rsid w:val="34AECE70"/>
    <w:rsid w:val="34CE4BC0"/>
    <w:rsid w:val="34EF890E"/>
    <w:rsid w:val="3557AEFC"/>
    <w:rsid w:val="35EFA659"/>
    <w:rsid w:val="35F6017B"/>
    <w:rsid w:val="35FF4CAA"/>
    <w:rsid w:val="364F193A"/>
    <w:rsid w:val="36797F28"/>
    <w:rsid w:val="36BBF625"/>
    <w:rsid w:val="36CB45BB"/>
    <w:rsid w:val="36CB5685"/>
    <w:rsid w:val="36F6571E"/>
    <w:rsid w:val="3777DDE9"/>
    <w:rsid w:val="377DCBE8"/>
    <w:rsid w:val="37BD40BC"/>
    <w:rsid w:val="37D38BAD"/>
    <w:rsid w:val="37DB8EA9"/>
    <w:rsid w:val="37DCCA67"/>
    <w:rsid w:val="37E5E163"/>
    <w:rsid w:val="37E95BAE"/>
    <w:rsid w:val="37EE4A87"/>
    <w:rsid w:val="37EF42FA"/>
    <w:rsid w:val="37F70FCC"/>
    <w:rsid w:val="37F9080B"/>
    <w:rsid w:val="37FD4F64"/>
    <w:rsid w:val="37FD5B7C"/>
    <w:rsid w:val="37FEAB0E"/>
    <w:rsid w:val="37FF499A"/>
    <w:rsid w:val="37FFFF51"/>
    <w:rsid w:val="39695631"/>
    <w:rsid w:val="397FA9A3"/>
    <w:rsid w:val="39BF1A10"/>
    <w:rsid w:val="39CDB9E4"/>
    <w:rsid w:val="39E066F3"/>
    <w:rsid w:val="39FF7DAA"/>
    <w:rsid w:val="3A6D2571"/>
    <w:rsid w:val="3A6F903B"/>
    <w:rsid w:val="3A7F08D2"/>
    <w:rsid w:val="3AE0A867"/>
    <w:rsid w:val="3AECDE05"/>
    <w:rsid w:val="3AFE102A"/>
    <w:rsid w:val="3AFF7804"/>
    <w:rsid w:val="3B06061A"/>
    <w:rsid w:val="3B1E89BA"/>
    <w:rsid w:val="3B7065CE"/>
    <w:rsid w:val="3B77DCAA"/>
    <w:rsid w:val="3B7B37E7"/>
    <w:rsid w:val="3B96B72E"/>
    <w:rsid w:val="3BAFB281"/>
    <w:rsid w:val="3BBF6B34"/>
    <w:rsid w:val="3BC6BD93"/>
    <w:rsid w:val="3BDDC01B"/>
    <w:rsid w:val="3BF59930"/>
    <w:rsid w:val="3BF7628D"/>
    <w:rsid w:val="3BFD9362"/>
    <w:rsid w:val="3BFFA2EB"/>
    <w:rsid w:val="3CAC611A"/>
    <w:rsid w:val="3CCB6132"/>
    <w:rsid w:val="3CEF51E3"/>
    <w:rsid w:val="3CFF070A"/>
    <w:rsid w:val="3D097172"/>
    <w:rsid w:val="3D3E74C1"/>
    <w:rsid w:val="3D7DD3E4"/>
    <w:rsid w:val="3D7F7323"/>
    <w:rsid w:val="3D9B5E0A"/>
    <w:rsid w:val="3DA7482F"/>
    <w:rsid w:val="3DCFDA59"/>
    <w:rsid w:val="3DDE56F9"/>
    <w:rsid w:val="3DDF8B05"/>
    <w:rsid w:val="3DE69A58"/>
    <w:rsid w:val="3DF42DA2"/>
    <w:rsid w:val="3DFD42F5"/>
    <w:rsid w:val="3DFF9AAE"/>
    <w:rsid w:val="3DFFB98A"/>
    <w:rsid w:val="3E3DEF81"/>
    <w:rsid w:val="3E5D59D6"/>
    <w:rsid w:val="3E66429D"/>
    <w:rsid w:val="3E6F7928"/>
    <w:rsid w:val="3E7C6C78"/>
    <w:rsid w:val="3E7D43AD"/>
    <w:rsid w:val="3EBCFFBE"/>
    <w:rsid w:val="3EBF8BD0"/>
    <w:rsid w:val="3ECEAF1F"/>
    <w:rsid w:val="3EFC6C93"/>
    <w:rsid w:val="3F35DBB4"/>
    <w:rsid w:val="3F5EFF8B"/>
    <w:rsid w:val="3F5FB5D3"/>
    <w:rsid w:val="3F5FB96F"/>
    <w:rsid w:val="3F6B6D75"/>
    <w:rsid w:val="3F8811FE"/>
    <w:rsid w:val="3FAFAB7F"/>
    <w:rsid w:val="3FB99BE6"/>
    <w:rsid w:val="3FBBABD1"/>
    <w:rsid w:val="3FBDDB53"/>
    <w:rsid w:val="3FBFCCCB"/>
    <w:rsid w:val="3FBFD78C"/>
    <w:rsid w:val="3FCB879C"/>
    <w:rsid w:val="3FD7139F"/>
    <w:rsid w:val="3FDF31C3"/>
    <w:rsid w:val="3FDF6103"/>
    <w:rsid w:val="3FE41AD3"/>
    <w:rsid w:val="3FE44C6C"/>
    <w:rsid w:val="3FEB5A77"/>
    <w:rsid w:val="3FEBEC3F"/>
    <w:rsid w:val="3FEE714F"/>
    <w:rsid w:val="3FEE906D"/>
    <w:rsid w:val="3FEF1D6E"/>
    <w:rsid w:val="3FEF5E74"/>
    <w:rsid w:val="3FF322C7"/>
    <w:rsid w:val="3FF987DE"/>
    <w:rsid w:val="3FFB7425"/>
    <w:rsid w:val="3FFBDA42"/>
    <w:rsid w:val="3FFBF756"/>
    <w:rsid w:val="3FFD5115"/>
    <w:rsid w:val="3FFD5FDB"/>
    <w:rsid w:val="3FFEA39F"/>
    <w:rsid w:val="3FFF1B07"/>
    <w:rsid w:val="3FFFAB63"/>
    <w:rsid w:val="3FFFF4BB"/>
    <w:rsid w:val="40570079"/>
    <w:rsid w:val="408D301E"/>
    <w:rsid w:val="40F07E1A"/>
    <w:rsid w:val="428649D7"/>
    <w:rsid w:val="43AC2696"/>
    <w:rsid w:val="43BEA0C2"/>
    <w:rsid w:val="43C90924"/>
    <w:rsid w:val="4501E5F9"/>
    <w:rsid w:val="456E6D79"/>
    <w:rsid w:val="45BFD1C9"/>
    <w:rsid w:val="45C3157F"/>
    <w:rsid w:val="45CA1B5B"/>
    <w:rsid w:val="46C76518"/>
    <w:rsid w:val="47272E53"/>
    <w:rsid w:val="472795B6"/>
    <w:rsid w:val="474748DD"/>
    <w:rsid w:val="477774C6"/>
    <w:rsid w:val="47C84019"/>
    <w:rsid w:val="47D3B97F"/>
    <w:rsid w:val="47DB324D"/>
    <w:rsid w:val="47DBDF07"/>
    <w:rsid w:val="47DC6345"/>
    <w:rsid w:val="47DE57D3"/>
    <w:rsid w:val="47DFBE6D"/>
    <w:rsid w:val="47E9568D"/>
    <w:rsid w:val="47FBCB97"/>
    <w:rsid w:val="47FF5BC6"/>
    <w:rsid w:val="48841B0C"/>
    <w:rsid w:val="48CFCA5F"/>
    <w:rsid w:val="496C5C50"/>
    <w:rsid w:val="4971686B"/>
    <w:rsid w:val="49F70741"/>
    <w:rsid w:val="4B378F80"/>
    <w:rsid w:val="4B3D7657"/>
    <w:rsid w:val="4B641CDC"/>
    <w:rsid w:val="4B770DC4"/>
    <w:rsid w:val="4B78AB11"/>
    <w:rsid w:val="4BAD17EA"/>
    <w:rsid w:val="4BAF4F0D"/>
    <w:rsid w:val="4BFB4474"/>
    <w:rsid w:val="4C1353A6"/>
    <w:rsid w:val="4C8D1EAA"/>
    <w:rsid w:val="4CA81B72"/>
    <w:rsid w:val="4CB31225"/>
    <w:rsid w:val="4DFF461D"/>
    <w:rsid w:val="4E2F511D"/>
    <w:rsid w:val="4E9AC59B"/>
    <w:rsid w:val="4F670001"/>
    <w:rsid w:val="4FB784EA"/>
    <w:rsid w:val="4FBF70E7"/>
    <w:rsid w:val="4FDED40E"/>
    <w:rsid w:val="4FF5E30B"/>
    <w:rsid w:val="4FF7539F"/>
    <w:rsid w:val="4FFE7C98"/>
    <w:rsid w:val="500544F3"/>
    <w:rsid w:val="502450B4"/>
    <w:rsid w:val="50B23693"/>
    <w:rsid w:val="50FF6686"/>
    <w:rsid w:val="51B37F76"/>
    <w:rsid w:val="51DB7509"/>
    <w:rsid w:val="520D1D69"/>
    <w:rsid w:val="52150609"/>
    <w:rsid w:val="52DF344F"/>
    <w:rsid w:val="53D901CD"/>
    <w:rsid w:val="53FD8C65"/>
    <w:rsid w:val="53FFD14A"/>
    <w:rsid w:val="54641CEF"/>
    <w:rsid w:val="54C77112"/>
    <w:rsid w:val="54E10649"/>
    <w:rsid w:val="54F03CB3"/>
    <w:rsid w:val="55AAFF59"/>
    <w:rsid w:val="55AE7F33"/>
    <w:rsid w:val="55DB30F0"/>
    <w:rsid w:val="55EA2824"/>
    <w:rsid w:val="56EFE95E"/>
    <w:rsid w:val="56FB37E1"/>
    <w:rsid w:val="56FF97ED"/>
    <w:rsid w:val="575DC22A"/>
    <w:rsid w:val="577B4FCD"/>
    <w:rsid w:val="57964133"/>
    <w:rsid w:val="57AE4262"/>
    <w:rsid w:val="57B66E18"/>
    <w:rsid w:val="57BFB029"/>
    <w:rsid w:val="57CA73D8"/>
    <w:rsid w:val="57D27D09"/>
    <w:rsid w:val="57EF366D"/>
    <w:rsid w:val="57F6CDDF"/>
    <w:rsid w:val="57FF0154"/>
    <w:rsid w:val="585E5718"/>
    <w:rsid w:val="58BD4E54"/>
    <w:rsid w:val="58BE5A47"/>
    <w:rsid w:val="58C44C96"/>
    <w:rsid w:val="59BFFE58"/>
    <w:rsid w:val="59DE4B3E"/>
    <w:rsid w:val="59F558B3"/>
    <w:rsid w:val="59FB9C85"/>
    <w:rsid w:val="5A2B176F"/>
    <w:rsid w:val="5A592739"/>
    <w:rsid w:val="5A7D69BE"/>
    <w:rsid w:val="5AEF538D"/>
    <w:rsid w:val="5B17EDF3"/>
    <w:rsid w:val="5B3873BB"/>
    <w:rsid w:val="5B4E1108"/>
    <w:rsid w:val="5B6FF926"/>
    <w:rsid w:val="5B926E50"/>
    <w:rsid w:val="5B9DCB7C"/>
    <w:rsid w:val="5BD77120"/>
    <w:rsid w:val="5BD89957"/>
    <w:rsid w:val="5BED2619"/>
    <w:rsid w:val="5BF787CE"/>
    <w:rsid w:val="5BFF273C"/>
    <w:rsid w:val="5BFFB4E9"/>
    <w:rsid w:val="5C6C36AD"/>
    <w:rsid w:val="5CB21360"/>
    <w:rsid w:val="5D3118B5"/>
    <w:rsid w:val="5D350039"/>
    <w:rsid w:val="5D3A5F63"/>
    <w:rsid w:val="5D5A4F56"/>
    <w:rsid w:val="5D6F1BF3"/>
    <w:rsid w:val="5D7225F6"/>
    <w:rsid w:val="5D7DB635"/>
    <w:rsid w:val="5DC26FB8"/>
    <w:rsid w:val="5DDD4AB7"/>
    <w:rsid w:val="5DE4E865"/>
    <w:rsid w:val="5DEE8D47"/>
    <w:rsid w:val="5DEFF393"/>
    <w:rsid w:val="5DFE1FCF"/>
    <w:rsid w:val="5DFF8F1E"/>
    <w:rsid w:val="5E2255B8"/>
    <w:rsid w:val="5E28110D"/>
    <w:rsid w:val="5E3500BA"/>
    <w:rsid w:val="5E5748C4"/>
    <w:rsid w:val="5E6F0E49"/>
    <w:rsid w:val="5E7BD716"/>
    <w:rsid w:val="5E7F15F8"/>
    <w:rsid w:val="5EB98C10"/>
    <w:rsid w:val="5ECDE2D9"/>
    <w:rsid w:val="5EDDA1AF"/>
    <w:rsid w:val="5EDF541C"/>
    <w:rsid w:val="5EE39487"/>
    <w:rsid w:val="5EFF17B4"/>
    <w:rsid w:val="5EFF1979"/>
    <w:rsid w:val="5F3F8CE2"/>
    <w:rsid w:val="5F5F9653"/>
    <w:rsid w:val="5F5FD653"/>
    <w:rsid w:val="5F67B8EB"/>
    <w:rsid w:val="5F7A92D3"/>
    <w:rsid w:val="5F7D244D"/>
    <w:rsid w:val="5F7D9EE7"/>
    <w:rsid w:val="5F7E4EF3"/>
    <w:rsid w:val="5FA6AACB"/>
    <w:rsid w:val="5FAA37EA"/>
    <w:rsid w:val="5FB557E7"/>
    <w:rsid w:val="5FB78F8C"/>
    <w:rsid w:val="5FB7AE74"/>
    <w:rsid w:val="5FBB09B9"/>
    <w:rsid w:val="5FBD55C9"/>
    <w:rsid w:val="5FCF682C"/>
    <w:rsid w:val="5FD7C567"/>
    <w:rsid w:val="5FDF412D"/>
    <w:rsid w:val="5FEBA61F"/>
    <w:rsid w:val="5FEBC786"/>
    <w:rsid w:val="5FEDC970"/>
    <w:rsid w:val="5FEFFA80"/>
    <w:rsid w:val="5FF3F145"/>
    <w:rsid w:val="5FF3FD3E"/>
    <w:rsid w:val="5FF686D6"/>
    <w:rsid w:val="5FFB487A"/>
    <w:rsid w:val="5FFBFC74"/>
    <w:rsid w:val="5FFDC124"/>
    <w:rsid w:val="5FFE8B64"/>
    <w:rsid w:val="5FFF7B12"/>
    <w:rsid w:val="60642B72"/>
    <w:rsid w:val="60E75E52"/>
    <w:rsid w:val="62F96EE8"/>
    <w:rsid w:val="63277C83"/>
    <w:rsid w:val="6367A535"/>
    <w:rsid w:val="63E6E86F"/>
    <w:rsid w:val="63F56591"/>
    <w:rsid w:val="63F8F3E4"/>
    <w:rsid w:val="63FF7D9E"/>
    <w:rsid w:val="6433663A"/>
    <w:rsid w:val="647E85DB"/>
    <w:rsid w:val="65287F34"/>
    <w:rsid w:val="65593DA6"/>
    <w:rsid w:val="65948B30"/>
    <w:rsid w:val="65CC4BC5"/>
    <w:rsid w:val="65D45C70"/>
    <w:rsid w:val="65F97E98"/>
    <w:rsid w:val="65FBC5E8"/>
    <w:rsid w:val="665E1743"/>
    <w:rsid w:val="6662F202"/>
    <w:rsid w:val="6676EE46"/>
    <w:rsid w:val="66F7A482"/>
    <w:rsid w:val="67114947"/>
    <w:rsid w:val="6715764D"/>
    <w:rsid w:val="67333610"/>
    <w:rsid w:val="673BAC08"/>
    <w:rsid w:val="674B9F72"/>
    <w:rsid w:val="675657E7"/>
    <w:rsid w:val="6765273A"/>
    <w:rsid w:val="67BAB029"/>
    <w:rsid w:val="67FB5836"/>
    <w:rsid w:val="67FC8651"/>
    <w:rsid w:val="67FF05C3"/>
    <w:rsid w:val="68562878"/>
    <w:rsid w:val="685FF649"/>
    <w:rsid w:val="686C7E60"/>
    <w:rsid w:val="69DC229B"/>
    <w:rsid w:val="6A154853"/>
    <w:rsid w:val="6A4C5183"/>
    <w:rsid w:val="6A77E8FD"/>
    <w:rsid w:val="6A9E72D4"/>
    <w:rsid w:val="6AB5261D"/>
    <w:rsid w:val="6AF733C6"/>
    <w:rsid w:val="6AFFC206"/>
    <w:rsid w:val="6B3F3C91"/>
    <w:rsid w:val="6B5B0881"/>
    <w:rsid w:val="6B5C915B"/>
    <w:rsid w:val="6B5E4FC9"/>
    <w:rsid w:val="6B6F5DD3"/>
    <w:rsid w:val="6BBFC8F5"/>
    <w:rsid w:val="6BE03C79"/>
    <w:rsid w:val="6BE5530C"/>
    <w:rsid w:val="6BEDC685"/>
    <w:rsid w:val="6BEE423F"/>
    <w:rsid w:val="6BF5CD28"/>
    <w:rsid w:val="6BFBEE94"/>
    <w:rsid w:val="6C142F54"/>
    <w:rsid w:val="6CEF0A53"/>
    <w:rsid w:val="6CEF5624"/>
    <w:rsid w:val="6CF78190"/>
    <w:rsid w:val="6D171B47"/>
    <w:rsid w:val="6D4D9BE5"/>
    <w:rsid w:val="6DBEF4EE"/>
    <w:rsid w:val="6DC5E549"/>
    <w:rsid w:val="6DDFBC2D"/>
    <w:rsid w:val="6DEEA387"/>
    <w:rsid w:val="6DF53D91"/>
    <w:rsid w:val="6DFEA8F1"/>
    <w:rsid w:val="6DFF3A6F"/>
    <w:rsid w:val="6DFF5DA1"/>
    <w:rsid w:val="6E513A09"/>
    <w:rsid w:val="6E7E3188"/>
    <w:rsid w:val="6EB7715C"/>
    <w:rsid w:val="6EBDC192"/>
    <w:rsid w:val="6EDE1EBC"/>
    <w:rsid w:val="6EF75661"/>
    <w:rsid w:val="6EF95841"/>
    <w:rsid w:val="6EFA2E99"/>
    <w:rsid w:val="6EFDAE22"/>
    <w:rsid w:val="6F2D50CE"/>
    <w:rsid w:val="6F6FAF13"/>
    <w:rsid w:val="6F76E50A"/>
    <w:rsid w:val="6F77B36A"/>
    <w:rsid w:val="6F798E05"/>
    <w:rsid w:val="6F7C629D"/>
    <w:rsid w:val="6F7F2991"/>
    <w:rsid w:val="6FA76AE1"/>
    <w:rsid w:val="6FA949C4"/>
    <w:rsid w:val="6FBB0150"/>
    <w:rsid w:val="6FBB47E8"/>
    <w:rsid w:val="6FDD7517"/>
    <w:rsid w:val="6FDF203B"/>
    <w:rsid w:val="6FEDE6FD"/>
    <w:rsid w:val="6FEF4F9B"/>
    <w:rsid w:val="6FEFAAE2"/>
    <w:rsid w:val="6FF64EDB"/>
    <w:rsid w:val="6FF68057"/>
    <w:rsid w:val="6FF694C9"/>
    <w:rsid w:val="6FF7386C"/>
    <w:rsid w:val="6FF9FEFF"/>
    <w:rsid w:val="6FFB02B3"/>
    <w:rsid w:val="6FFB5F76"/>
    <w:rsid w:val="6FFF1BBD"/>
    <w:rsid w:val="6FFFCC9F"/>
    <w:rsid w:val="701339A0"/>
    <w:rsid w:val="70B563EA"/>
    <w:rsid w:val="70FB428D"/>
    <w:rsid w:val="70FF20E3"/>
    <w:rsid w:val="711C757C"/>
    <w:rsid w:val="712B8935"/>
    <w:rsid w:val="71CF41C2"/>
    <w:rsid w:val="71E87D6D"/>
    <w:rsid w:val="71FA0EBB"/>
    <w:rsid w:val="71FFDA1E"/>
    <w:rsid w:val="723E613F"/>
    <w:rsid w:val="725236A9"/>
    <w:rsid w:val="7267E890"/>
    <w:rsid w:val="72FF0FB8"/>
    <w:rsid w:val="731F6D84"/>
    <w:rsid w:val="733BBDCF"/>
    <w:rsid w:val="737F9BF3"/>
    <w:rsid w:val="737FE76F"/>
    <w:rsid w:val="739F3AA6"/>
    <w:rsid w:val="73BDFD6E"/>
    <w:rsid w:val="73BF44BF"/>
    <w:rsid w:val="73C3633D"/>
    <w:rsid w:val="73DE8A91"/>
    <w:rsid w:val="73EB5555"/>
    <w:rsid w:val="73FD716C"/>
    <w:rsid w:val="73FDDA88"/>
    <w:rsid w:val="73FE3E43"/>
    <w:rsid w:val="744040B1"/>
    <w:rsid w:val="74F64CE3"/>
    <w:rsid w:val="74FE8CFD"/>
    <w:rsid w:val="75140FCF"/>
    <w:rsid w:val="753E1CF2"/>
    <w:rsid w:val="759B07AC"/>
    <w:rsid w:val="75DEED9A"/>
    <w:rsid w:val="75E50845"/>
    <w:rsid w:val="75F92278"/>
    <w:rsid w:val="75FDEB66"/>
    <w:rsid w:val="75FF315A"/>
    <w:rsid w:val="767F5745"/>
    <w:rsid w:val="767F801A"/>
    <w:rsid w:val="76B767A4"/>
    <w:rsid w:val="76BF61DE"/>
    <w:rsid w:val="76C56DA4"/>
    <w:rsid w:val="76F7DB48"/>
    <w:rsid w:val="771FE252"/>
    <w:rsid w:val="776BCE0B"/>
    <w:rsid w:val="776D64F0"/>
    <w:rsid w:val="776F6940"/>
    <w:rsid w:val="77738B87"/>
    <w:rsid w:val="7777A068"/>
    <w:rsid w:val="77A66C58"/>
    <w:rsid w:val="77A7C93F"/>
    <w:rsid w:val="77ABFD10"/>
    <w:rsid w:val="77AC964E"/>
    <w:rsid w:val="77AECF4B"/>
    <w:rsid w:val="77B35D7A"/>
    <w:rsid w:val="77BE1CAF"/>
    <w:rsid w:val="77D6D50D"/>
    <w:rsid w:val="77DB8965"/>
    <w:rsid w:val="77E62FD0"/>
    <w:rsid w:val="77ED034F"/>
    <w:rsid w:val="77ED86AF"/>
    <w:rsid w:val="77EF50CF"/>
    <w:rsid w:val="77EFD230"/>
    <w:rsid w:val="77F53962"/>
    <w:rsid w:val="77F7CDA1"/>
    <w:rsid w:val="77FB3532"/>
    <w:rsid w:val="77FE6301"/>
    <w:rsid w:val="77FF869C"/>
    <w:rsid w:val="77FFA67B"/>
    <w:rsid w:val="7807F1A0"/>
    <w:rsid w:val="783A4EB9"/>
    <w:rsid w:val="787AC5A7"/>
    <w:rsid w:val="78B58A42"/>
    <w:rsid w:val="78F361C7"/>
    <w:rsid w:val="78FFDD9B"/>
    <w:rsid w:val="79375B7B"/>
    <w:rsid w:val="793F5C8A"/>
    <w:rsid w:val="7940181B"/>
    <w:rsid w:val="797B012C"/>
    <w:rsid w:val="797EADD0"/>
    <w:rsid w:val="799230E8"/>
    <w:rsid w:val="79A3F446"/>
    <w:rsid w:val="79DA6221"/>
    <w:rsid w:val="79EBEE95"/>
    <w:rsid w:val="79F7C66E"/>
    <w:rsid w:val="79F9B581"/>
    <w:rsid w:val="79FA5710"/>
    <w:rsid w:val="79FB3597"/>
    <w:rsid w:val="79FDCB65"/>
    <w:rsid w:val="79FEE1D1"/>
    <w:rsid w:val="7A156982"/>
    <w:rsid w:val="7A2B2F26"/>
    <w:rsid w:val="7A394CC9"/>
    <w:rsid w:val="7A56C6D7"/>
    <w:rsid w:val="7A7B8029"/>
    <w:rsid w:val="7A7D30F0"/>
    <w:rsid w:val="7A9A6F6D"/>
    <w:rsid w:val="7A9A7FD3"/>
    <w:rsid w:val="7A9FC855"/>
    <w:rsid w:val="7ABD96A9"/>
    <w:rsid w:val="7AD9F41E"/>
    <w:rsid w:val="7ADF41AB"/>
    <w:rsid w:val="7AEF3632"/>
    <w:rsid w:val="7AEF77ED"/>
    <w:rsid w:val="7AF7BFC9"/>
    <w:rsid w:val="7AF7E0EA"/>
    <w:rsid w:val="7AFCD563"/>
    <w:rsid w:val="7AFEA293"/>
    <w:rsid w:val="7B13C5EC"/>
    <w:rsid w:val="7B1F264E"/>
    <w:rsid w:val="7B1FEDD9"/>
    <w:rsid w:val="7B2B0A41"/>
    <w:rsid w:val="7B2F6064"/>
    <w:rsid w:val="7B56712F"/>
    <w:rsid w:val="7B624F4D"/>
    <w:rsid w:val="7B6F9482"/>
    <w:rsid w:val="7B7BBD3B"/>
    <w:rsid w:val="7B7D7686"/>
    <w:rsid w:val="7B820416"/>
    <w:rsid w:val="7B840B14"/>
    <w:rsid w:val="7BAEC961"/>
    <w:rsid w:val="7BB32ABB"/>
    <w:rsid w:val="7BC1AC1E"/>
    <w:rsid w:val="7BD53BCA"/>
    <w:rsid w:val="7BD78ABC"/>
    <w:rsid w:val="7BD935C8"/>
    <w:rsid w:val="7BDD8323"/>
    <w:rsid w:val="7BDFD13D"/>
    <w:rsid w:val="7BE97619"/>
    <w:rsid w:val="7BEBC1DF"/>
    <w:rsid w:val="7BED0B28"/>
    <w:rsid w:val="7BED8BD5"/>
    <w:rsid w:val="7BF1B148"/>
    <w:rsid w:val="7BF2D4A8"/>
    <w:rsid w:val="7BF95264"/>
    <w:rsid w:val="7BF9A5CE"/>
    <w:rsid w:val="7BFCCC38"/>
    <w:rsid w:val="7BFCE965"/>
    <w:rsid w:val="7BFE2CE8"/>
    <w:rsid w:val="7BFE5AB5"/>
    <w:rsid w:val="7BFFD1B6"/>
    <w:rsid w:val="7BFFD3A7"/>
    <w:rsid w:val="7C4FCDE0"/>
    <w:rsid w:val="7C5F30D9"/>
    <w:rsid w:val="7C7DFD5D"/>
    <w:rsid w:val="7C7F643B"/>
    <w:rsid w:val="7CAA65F3"/>
    <w:rsid w:val="7CDE097B"/>
    <w:rsid w:val="7CF42480"/>
    <w:rsid w:val="7CFBAAD3"/>
    <w:rsid w:val="7CFE28E9"/>
    <w:rsid w:val="7CFE4AD7"/>
    <w:rsid w:val="7CFE805D"/>
    <w:rsid w:val="7CFE8FBB"/>
    <w:rsid w:val="7CFF8F5A"/>
    <w:rsid w:val="7CFFADBC"/>
    <w:rsid w:val="7D0F223A"/>
    <w:rsid w:val="7D187750"/>
    <w:rsid w:val="7D3D4BB5"/>
    <w:rsid w:val="7D3F050C"/>
    <w:rsid w:val="7D5198D1"/>
    <w:rsid w:val="7D6F5B69"/>
    <w:rsid w:val="7D79FA00"/>
    <w:rsid w:val="7D7C6126"/>
    <w:rsid w:val="7D7D6986"/>
    <w:rsid w:val="7D7F07CE"/>
    <w:rsid w:val="7D7F1B87"/>
    <w:rsid w:val="7D9CAFB4"/>
    <w:rsid w:val="7D9F3F56"/>
    <w:rsid w:val="7DAFAA44"/>
    <w:rsid w:val="7DAFB59C"/>
    <w:rsid w:val="7DB7F68A"/>
    <w:rsid w:val="7DBF8B2C"/>
    <w:rsid w:val="7DC70753"/>
    <w:rsid w:val="7DD35250"/>
    <w:rsid w:val="7DD6A6FD"/>
    <w:rsid w:val="7DD7EC56"/>
    <w:rsid w:val="7DDB1D9D"/>
    <w:rsid w:val="7DDC55A2"/>
    <w:rsid w:val="7DE3A381"/>
    <w:rsid w:val="7DEF3DB4"/>
    <w:rsid w:val="7DF3D9B2"/>
    <w:rsid w:val="7DF5C574"/>
    <w:rsid w:val="7DFE5EAB"/>
    <w:rsid w:val="7DFF2403"/>
    <w:rsid w:val="7E31BE23"/>
    <w:rsid w:val="7E3E2E90"/>
    <w:rsid w:val="7E57D0A2"/>
    <w:rsid w:val="7E6B8EA2"/>
    <w:rsid w:val="7E7AE900"/>
    <w:rsid w:val="7E7CFE9A"/>
    <w:rsid w:val="7E7F4A51"/>
    <w:rsid w:val="7E7F68BF"/>
    <w:rsid w:val="7E9B58B4"/>
    <w:rsid w:val="7EB51BB6"/>
    <w:rsid w:val="7EB72FCE"/>
    <w:rsid w:val="7ECF460D"/>
    <w:rsid w:val="7EDE8E72"/>
    <w:rsid w:val="7EDF724A"/>
    <w:rsid w:val="7EDFBD90"/>
    <w:rsid w:val="7EEBDBA0"/>
    <w:rsid w:val="7EED6B19"/>
    <w:rsid w:val="7EEF1DF2"/>
    <w:rsid w:val="7EEF2BE8"/>
    <w:rsid w:val="7EF6A867"/>
    <w:rsid w:val="7EF984DE"/>
    <w:rsid w:val="7EFAC2BD"/>
    <w:rsid w:val="7EFB2203"/>
    <w:rsid w:val="7EFBA4B1"/>
    <w:rsid w:val="7EFF6713"/>
    <w:rsid w:val="7EFFA849"/>
    <w:rsid w:val="7F10314D"/>
    <w:rsid w:val="7F10A068"/>
    <w:rsid w:val="7F127E3B"/>
    <w:rsid w:val="7F17155F"/>
    <w:rsid w:val="7F1FCE93"/>
    <w:rsid w:val="7F37D41F"/>
    <w:rsid w:val="7F3AACA4"/>
    <w:rsid w:val="7F3B215D"/>
    <w:rsid w:val="7F3D686A"/>
    <w:rsid w:val="7F3F1224"/>
    <w:rsid w:val="7F4753A1"/>
    <w:rsid w:val="7F47A266"/>
    <w:rsid w:val="7F4B75AB"/>
    <w:rsid w:val="7F5F5F63"/>
    <w:rsid w:val="7F5FE942"/>
    <w:rsid w:val="7F67B2FE"/>
    <w:rsid w:val="7F6B36A8"/>
    <w:rsid w:val="7F6FA6CB"/>
    <w:rsid w:val="7F6FBED4"/>
    <w:rsid w:val="7F6FD3F0"/>
    <w:rsid w:val="7F77188E"/>
    <w:rsid w:val="7F7AA225"/>
    <w:rsid w:val="7F7B0F0A"/>
    <w:rsid w:val="7F7B36BB"/>
    <w:rsid w:val="7F7CFB7A"/>
    <w:rsid w:val="7F7DDD6A"/>
    <w:rsid w:val="7F7FA0FD"/>
    <w:rsid w:val="7F7FB1E5"/>
    <w:rsid w:val="7F7FD5D0"/>
    <w:rsid w:val="7F8F760B"/>
    <w:rsid w:val="7F934B5F"/>
    <w:rsid w:val="7F9748C0"/>
    <w:rsid w:val="7F9795CE"/>
    <w:rsid w:val="7F9D88C1"/>
    <w:rsid w:val="7F9FBB7D"/>
    <w:rsid w:val="7F9FC326"/>
    <w:rsid w:val="7FA78C5D"/>
    <w:rsid w:val="7FAFC81B"/>
    <w:rsid w:val="7FB74582"/>
    <w:rsid w:val="7FB8ADD8"/>
    <w:rsid w:val="7FBE00C8"/>
    <w:rsid w:val="7FBEC50B"/>
    <w:rsid w:val="7FBEEB27"/>
    <w:rsid w:val="7FBF795A"/>
    <w:rsid w:val="7FBF93A9"/>
    <w:rsid w:val="7FBF986C"/>
    <w:rsid w:val="7FBF9B97"/>
    <w:rsid w:val="7FBFF10B"/>
    <w:rsid w:val="7FC75278"/>
    <w:rsid w:val="7FCE1B05"/>
    <w:rsid w:val="7FCEADAD"/>
    <w:rsid w:val="7FCF46C8"/>
    <w:rsid w:val="7FCF471D"/>
    <w:rsid w:val="7FD75EF0"/>
    <w:rsid w:val="7FDA7FE0"/>
    <w:rsid w:val="7FDB97F5"/>
    <w:rsid w:val="7FDB9AF7"/>
    <w:rsid w:val="7FDC5106"/>
    <w:rsid w:val="7FDD6AFD"/>
    <w:rsid w:val="7FDF167C"/>
    <w:rsid w:val="7FDF69D9"/>
    <w:rsid w:val="7FDF6DE2"/>
    <w:rsid w:val="7FDF84D4"/>
    <w:rsid w:val="7FDFAC75"/>
    <w:rsid w:val="7FE3C5C4"/>
    <w:rsid w:val="7FE97F7B"/>
    <w:rsid w:val="7FEE703A"/>
    <w:rsid w:val="7FEED922"/>
    <w:rsid w:val="7FEEEDF9"/>
    <w:rsid w:val="7FEF35F9"/>
    <w:rsid w:val="7FEFA791"/>
    <w:rsid w:val="7FEFC965"/>
    <w:rsid w:val="7FF298B7"/>
    <w:rsid w:val="7FF2E082"/>
    <w:rsid w:val="7FF7541C"/>
    <w:rsid w:val="7FF7D1C7"/>
    <w:rsid w:val="7FF7F840"/>
    <w:rsid w:val="7FF94D4A"/>
    <w:rsid w:val="7FF954D8"/>
    <w:rsid w:val="7FFA65B9"/>
    <w:rsid w:val="7FFB521D"/>
    <w:rsid w:val="7FFD4179"/>
    <w:rsid w:val="7FFD65B0"/>
    <w:rsid w:val="7FFDBDCF"/>
    <w:rsid w:val="7FFE2A97"/>
    <w:rsid w:val="7FFE5605"/>
    <w:rsid w:val="7FFE62EB"/>
    <w:rsid w:val="7FFE8C42"/>
    <w:rsid w:val="7FFE8CBB"/>
    <w:rsid w:val="7FFEDC30"/>
    <w:rsid w:val="7FFEDC6B"/>
    <w:rsid w:val="7FFEE2D6"/>
    <w:rsid w:val="7FFF0080"/>
    <w:rsid w:val="7FFF173B"/>
    <w:rsid w:val="7FFF3ECA"/>
    <w:rsid w:val="7FFF5C5F"/>
    <w:rsid w:val="7FFF6CA0"/>
    <w:rsid w:val="7FFFFE73"/>
    <w:rsid w:val="82F9E2A0"/>
    <w:rsid w:val="89B997E6"/>
    <w:rsid w:val="8ADCF28B"/>
    <w:rsid w:val="8BAFD1D7"/>
    <w:rsid w:val="8BBF4913"/>
    <w:rsid w:val="8BE1E86A"/>
    <w:rsid w:val="8BFF0505"/>
    <w:rsid w:val="8C7AB303"/>
    <w:rsid w:val="8D9DB219"/>
    <w:rsid w:val="8DBD1144"/>
    <w:rsid w:val="8EFF6FAC"/>
    <w:rsid w:val="8F14A758"/>
    <w:rsid w:val="8F9F1EA3"/>
    <w:rsid w:val="8FDD0D2F"/>
    <w:rsid w:val="8FF3FEAB"/>
    <w:rsid w:val="8FFD54BE"/>
    <w:rsid w:val="93FEDE64"/>
    <w:rsid w:val="93FEED13"/>
    <w:rsid w:val="9533F6CB"/>
    <w:rsid w:val="957F1F72"/>
    <w:rsid w:val="95F76FAC"/>
    <w:rsid w:val="96AF3158"/>
    <w:rsid w:val="96BF6147"/>
    <w:rsid w:val="96BF96E1"/>
    <w:rsid w:val="96FA0616"/>
    <w:rsid w:val="97653517"/>
    <w:rsid w:val="97BD3C67"/>
    <w:rsid w:val="97FDAE3D"/>
    <w:rsid w:val="97FE255B"/>
    <w:rsid w:val="989F882E"/>
    <w:rsid w:val="9A7E44F6"/>
    <w:rsid w:val="9AFF8559"/>
    <w:rsid w:val="9B7CC808"/>
    <w:rsid w:val="9BCB5D13"/>
    <w:rsid w:val="9BFF63DE"/>
    <w:rsid w:val="9CFFA760"/>
    <w:rsid w:val="9D656EE9"/>
    <w:rsid w:val="9DAEE2B0"/>
    <w:rsid w:val="9DDBE4D2"/>
    <w:rsid w:val="9EFE275E"/>
    <w:rsid w:val="9EFF5086"/>
    <w:rsid w:val="9F3DF564"/>
    <w:rsid w:val="9F7A6D86"/>
    <w:rsid w:val="9FEA6C18"/>
    <w:rsid w:val="A3FA3B6D"/>
    <w:rsid w:val="A46D6772"/>
    <w:rsid w:val="A6AF56E4"/>
    <w:rsid w:val="A6FB241F"/>
    <w:rsid w:val="A6FC00D9"/>
    <w:rsid w:val="A76D6FC7"/>
    <w:rsid w:val="A7AEF033"/>
    <w:rsid w:val="A7CD0CCA"/>
    <w:rsid w:val="A7DF4045"/>
    <w:rsid w:val="A7FB9A1C"/>
    <w:rsid w:val="A7FDE58D"/>
    <w:rsid w:val="A8BFFEBE"/>
    <w:rsid w:val="A8F55A17"/>
    <w:rsid w:val="AADFE247"/>
    <w:rsid w:val="ABBFBBF8"/>
    <w:rsid w:val="ABEE4A82"/>
    <w:rsid w:val="ABFD9A89"/>
    <w:rsid w:val="ABFECF6B"/>
    <w:rsid w:val="ACDF9073"/>
    <w:rsid w:val="ADBF202D"/>
    <w:rsid w:val="ADDFFB1B"/>
    <w:rsid w:val="ADE73CC5"/>
    <w:rsid w:val="ADFF32E6"/>
    <w:rsid w:val="AED7AA22"/>
    <w:rsid w:val="AEF76610"/>
    <w:rsid w:val="AF77D19D"/>
    <w:rsid w:val="AF7CC1BA"/>
    <w:rsid w:val="AF7E861C"/>
    <w:rsid w:val="AF7F0765"/>
    <w:rsid w:val="AF8F109C"/>
    <w:rsid w:val="AFBECF31"/>
    <w:rsid w:val="AFEF96A3"/>
    <w:rsid w:val="AFF6A4F8"/>
    <w:rsid w:val="AFF78C24"/>
    <w:rsid w:val="AFFF42D4"/>
    <w:rsid w:val="B170C044"/>
    <w:rsid w:val="B2F72D82"/>
    <w:rsid w:val="B3FAB7C0"/>
    <w:rsid w:val="B3FD552B"/>
    <w:rsid w:val="B3FF89A1"/>
    <w:rsid w:val="B4DE854D"/>
    <w:rsid w:val="B57EEE19"/>
    <w:rsid w:val="B5BD70F0"/>
    <w:rsid w:val="B5FEC500"/>
    <w:rsid w:val="B63F22B9"/>
    <w:rsid w:val="B65CE341"/>
    <w:rsid w:val="B6A7D7BC"/>
    <w:rsid w:val="B73FD4E3"/>
    <w:rsid w:val="B77E2B60"/>
    <w:rsid w:val="B77FF6D7"/>
    <w:rsid w:val="B7B95353"/>
    <w:rsid w:val="B7E3B5B5"/>
    <w:rsid w:val="B7F99302"/>
    <w:rsid w:val="B7FF79A2"/>
    <w:rsid w:val="B7FFD93E"/>
    <w:rsid w:val="B7FFDF66"/>
    <w:rsid w:val="B8BB7A62"/>
    <w:rsid w:val="B8DFB7C3"/>
    <w:rsid w:val="B8FF5309"/>
    <w:rsid w:val="B93B6B3A"/>
    <w:rsid w:val="B99E50DC"/>
    <w:rsid w:val="B9F912DE"/>
    <w:rsid w:val="B9FDA3B8"/>
    <w:rsid w:val="B9FECEA1"/>
    <w:rsid w:val="BACF665E"/>
    <w:rsid w:val="BADD9DC0"/>
    <w:rsid w:val="BAF70B25"/>
    <w:rsid w:val="BAFA999F"/>
    <w:rsid w:val="BAFEB166"/>
    <w:rsid w:val="BB7C607D"/>
    <w:rsid w:val="BB7FE2AC"/>
    <w:rsid w:val="BBAB7A1F"/>
    <w:rsid w:val="BBB78483"/>
    <w:rsid w:val="BBDB14C1"/>
    <w:rsid w:val="BBF50D06"/>
    <w:rsid w:val="BBFA249C"/>
    <w:rsid w:val="BBFF3441"/>
    <w:rsid w:val="BBFFEF32"/>
    <w:rsid w:val="BCEA7A3A"/>
    <w:rsid w:val="BCFBA605"/>
    <w:rsid w:val="BCFCDD15"/>
    <w:rsid w:val="BD761473"/>
    <w:rsid w:val="BDA58E9F"/>
    <w:rsid w:val="BDB706E9"/>
    <w:rsid w:val="BDF1478A"/>
    <w:rsid w:val="BDFCABB3"/>
    <w:rsid w:val="BDFF19C8"/>
    <w:rsid w:val="BDFF849E"/>
    <w:rsid w:val="BDFFDB5D"/>
    <w:rsid w:val="BE27F036"/>
    <w:rsid w:val="BE7944DF"/>
    <w:rsid w:val="BE9E547C"/>
    <w:rsid w:val="BEBD4E0F"/>
    <w:rsid w:val="BEE7E31D"/>
    <w:rsid w:val="BEEDBF04"/>
    <w:rsid w:val="BEF71618"/>
    <w:rsid w:val="BEFEAF0A"/>
    <w:rsid w:val="BF2E6D9E"/>
    <w:rsid w:val="BF2F0922"/>
    <w:rsid w:val="BF3F6EF9"/>
    <w:rsid w:val="BF5FF9BF"/>
    <w:rsid w:val="BF708F40"/>
    <w:rsid w:val="BF73B101"/>
    <w:rsid w:val="BF79D1CF"/>
    <w:rsid w:val="BF7D0E7B"/>
    <w:rsid w:val="BFB4196A"/>
    <w:rsid w:val="BFBE8E79"/>
    <w:rsid w:val="BFBFBA82"/>
    <w:rsid w:val="BFD77257"/>
    <w:rsid w:val="BFDD096C"/>
    <w:rsid w:val="BFDEC8DF"/>
    <w:rsid w:val="BFDF871A"/>
    <w:rsid w:val="BFDFEA75"/>
    <w:rsid w:val="BFE7C97B"/>
    <w:rsid w:val="BFEF4E12"/>
    <w:rsid w:val="BFEF69B0"/>
    <w:rsid w:val="BFEFB80A"/>
    <w:rsid w:val="BFF94C42"/>
    <w:rsid w:val="BFFAA6D0"/>
    <w:rsid w:val="BFFAC759"/>
    <w:rsid w:val="BFFBD9F6"/>
    <w:rsid w:val="BFFC2420"/>
    <w:rsid w:val="BFFD0589"/>
    <w:rsid w:val="BFFD6BB6"/>
    <w:rsid w:val="BFFEB16A"/>
    <w:rsid w:val="BFFF1324"/>
    <w:rsid w:val="BFFF9485"/>
    <w:rsid w:val="BFFFCBCF"/>
    <w:rsid w:val="C0DF8F48"/>
    <w:rsid w:val="C55FC866"/>
    <w:rsid w:val="C5CB3725"/>
    <w:rsid w:val="C5EB1F3F"/>
    <w:rsid w:val="C65389C0"/>
    <w:rsid w:val="C6FB0B48"/>
    <w:rsid w:val="C6FDD2B1"/>
    <w:rsid w:val="C71F7201"/>
    <w:rsid w:val="C9EF0514"/>
    <w:rsid w:val="CAD5D130"/>
    <w:rsid w:val="CB82B054"/>
    <w:rsid w:val="CBBF4600"/>
    <w:rsid w:val="CBE54F01"/>
    <w:rsid w:val="CBEF0B6B"/>
    <w:rsid w:val="CBFF56E8"/>
    <w:rsid w:val="CCDBC0DB"/>
    <w:rsid w:val="CDFF6259"/>
    <w:rsid w:val="CEDF2A15"/>
    <w:rsid w:val="CEF775A8"/>
    <w:rsid w:val="CF57A1D0"/>
    <w:rsid w:val="CF6EF934"/>
    <w:rsid w:val="CF7F408C"/>
    <w:rsid w:val="CFD73C48"/>
    <w:rsid w:val="CFDA5D00"/>
    <w:rsid w:val="CFFBC295"/>
    <w:rsid w:val="CFFD330C"/>
    <w:rsid w:val="CFFE9B28"/>
    <w:rsid w:val="D066A84D"/>
    <w:rsid w:val="D1BF4DF0"/>
    <w:rsid w:val="D1CF9791"/>
    <w:rsid w:val="D3749F3A"/>
    <w:rsid w:val="D3F5B000"/>
    <w:rsid w:val="D3F68168"/>
    <w:rsid w:val="D47F1B2E"/>
    <w:rsid w:val="D59F03C2"/>
    <w:rsid w:val="D5D660BB"/>
    <w:rsid w:val="D5DF4215"/>
    <w:rsid w:val="D5EF91FE"/>
    <w:rsid w:val="D5FFE61A"/>
    <w:rsid w:val="D68EE886"/>
    <w:rsid w:val="D6EF1EAB"/>
    <w:rsid w:val="D6F66C4E"/>
    <w:rsid w:val="D6FDC9A2"/>
    <w:rsid w:val="D7339673"/>
    <w:rsid w:val="D77F4EE4"/>
    <w:rsid w:val="D77FD2ED"/>
    <w:rsid w:val="D7933CB9"/>
    <w:rsid w:val="D7AF7EC0"/>
    <w:rsid w:val="D7BEE475"/>
    <w:rsid w:val="D7DA1150"/>
    <w:rsid w:val="D7DCDDE4"/>
    <w:rsid w:val="D7FF044B"/>
    <w:rsid w:val="D7FFA820"/>
    <w:rsid w:val="D95F9068"/>
    <w:rsid w:val="DA1746F1"/>
    <w:rsid w:val="DA6DEA26"/>
    <w:rsid w:val="DAA59C36"/>
    <w:rsid w:val="DAFAA0E7"/>
    <w:rsid w:val="DAFBA00D"/>
    <w:rsid w:val="DB6E37D1"/>
    <w:rsid w:val="DB7FE446"/>
    <w:rsid w:val="DBAEE0E7"/>
    <w:rsid w:val="DBB611CD"/>
    <w:rsid w:val="DBBFDA73"/>
    <w:rsid w:val="DBCE9E68"/>
    <w:rsid w:val="DBDC0789"/>
    <w:rsid w:val="DBDEF7A5"/>
    <w:rsid w:val="DBEF56D5"/>
    <w:rsid w:val="DBFF0F1F"/>
    <w:rsid w:val="DBFF57BA"/>
    <w:rsid w:val="DC6737A7"/>
    <w:rsid w:val="DCBFCA7B"/>
    <w:rsid w:val="DCC93E61"/>
    <w:rsid w:val="DCDDEBFE"/>
    <w:rsid w:val="DCEDFDED"/>
    <w:rsid w:val="DCF73BC0"/>
    <w:rsid w:val="DCFE62FD"/>
    <w:rsid w:val="DD7FA192"/>
    <w:rsid w:val="DDCD1537"/>
    <w:rsid w:val="DDDD30B4"/>
    <w:rsid w:val="DDDFC74E"/>
    <w:rsid w:val="DDEF182F"/>
    <w:rsid w:val="DE7DAB01"/>
    <w:rsid w:val="DE7F4B93"/>
    <w:rsid w:val="DEBD32D2"/>
    <w:rsid w:val="DED2E267"/>
    <w:rsid w:val="DEDB4B3E"/>
    <w:rsid w:val="DEE07446"/>
    <w:rsid w:val="DEE7B44F"/>
    <w:rsid w:val="DEF32F7C"/>
    <w:rsid w:val="DEF7C429"/>
    <w:rsid w:val="DEFAC6D1"/>
    <w:rsid w:val="DEFF96FD"/>
    <w:rsid w:val="DF636FEA"/>
    <w:rsid w:val="DF6F6FEB"/>
    <w:rsid w:val="DF705469"/>
    <w:rsid w:val="DF77D854"/>
    <w:rsid w:val="DF7B8BE6"/>
    <w:rsid w:val="DF7C61B4"/>
    <w:rsid w:val="DF9FF7AE"/>
    <w:rsid w:val="DFDE5A26"/>
    <w:rsid w:val="DFDF4333"/>
    <w:rsid w:val="DFE71A40"/>
    <w:rsid w:val="DFE7B1DB"/>
    <w:rsid w:val="DFEB6887"/>
    <w:rsid w:val="DFEE1130"/>
    <w:rsid w:val="DFF4C8D4"/>
    <w:rsid w:val="DFF69B20"/>
    <w:rsid w:val="DFF6E8A9"/>
    <w:rsid w:val="DFF71ED2"/>
    <w:rsid w:val="DFF7AD27"/>
    <w:rsid w:val="DFF7F1C0"/>
    <w:rsid w:val="DFFB2D4E"/>
    <w:rsid w:val="DFFB3E71"/>
    <w:rsid w:val="DFFD185E"/>
    <w:rsid w:val="DFFE09C1"/>
    <w:rsid w:val="DFFF115C"/>
    <w:rsid w:val="DFFFCC8B"/>
    <w:rsid w:val="DFFFCD8B"/>
    <w:rsid w:val="DFFFDB84"/>
    <w:rsid w:val="E0E30074"/>
    <w:rsid w:val="E1DEE24E"/>
    <w:rsid w:val="E1FFBA8E"/>
    <w:rsid w:val="E2C81DB2"/>
    <w:rsid w:val="E2FEDF94"/>
    <w:rsid w:val="E3F7303B"/>
    <w:rsid w:val="E673E684"/>
    <w:rsid w:val="E6CEFA40"/>
    <w:rsid w:val="E73A21BF"/>
    <w:rsid w:val="E777971B"/>
    <w:rsid w:val="E777EDA7"/>
    <w:rsid w:val="E778AD0F"/>
    <w:rsid w:val="E79D64A5"/>
    <w:rsid w:val="E7A2DDFF"/>
    <w:rsid w:val="E7A71C46"/>
    <w:rsid w:val="E7B34B61"/>
    <w:rsid w:val="E7BE8871"/>
    <w:rsid w:val="E7C7B172"/>
    <w:rsid w:val="E7FFA050"/>
    <w:rsid w:val="E952354E"/>
    <w:rsid w:val="E9FB1583"/>
    <w:rsid w:val="E9FC07B0"/>
    <w:rsid w:val="E9FF20CE"/>
    <w:rsid w:val="EA7F1768"/>
    <w:rsid w:val="EAD74BC2"/>
    <w:rsid w:val="EAEE7244"/>
    <w:rsid w:val="EB3C308A"/>
    <w:rsid w:val="EB5FF5F9"/>
    <w:rsid w:val="EB9F6E31"/>
    <w:rsid w:val="EBAED1DF"/>
    <w:rsid w:val="EBC9DE6C"/>
    <w:rsid w:val="EBE9A095"/>
    <w:rsid w:val="EC7CDF15"/>
    <w:rsid w:val="EC9D3333"/>
    <w:rsid w:val="ECF341F6"/>
    <w:rsid w:val="ECF640D2"/>
    <w:rsid w:val="ED3F6984"/>
    <w:rsid w:val="ED7F1698"/>
    <w:rsid w:val="ED7FDBCF"/>
    <w:rsid w:val="EDD79074"/>
    <w:rsid w:val="EDF7EDDB"/>
    <w:rsid w:val="EDFF6B0C"/>
    <w:rsid w:val="EDFFA6D5"/>
    <w:rsid w:val="EE23D72C"/>
    <w:rsid w:val="EE787576"/>
    <w:rsid w:val="EE7D440C"/>
    <w:rsid w:val="EEB35E08"/>
    <w:rsid w:val="EECA847E"/>
    <w:rsid w:val="EEDF6EEC"/>
    <w:rsid w:val="EEE70384"/>
    <w:rsid w:val="EEE75E11"/>
    <w:rsid w:val="EEEAE533"/>
    <w:rsid w:val="EEECDFC4"/>
    <w:rsid w:val="EEF99078"/>
    <w:rsid w:val="EEFAB4C3"/>
    <w:rsid w:val="EEFD2313"/>
    <w:rsid w:val="EEFF5EDC"/>
    <w:rsid w:val="EEFF7828"/>
    <w:rsid w:val="EF3EC72B"/>
    <w:rsid w:val="EF3EDD06"/>
    <w:rsid w:val="EF77514A"/>
    <w:rsid w:val="EF794AA5"/>
    <w:rsid w:val="EF7A7462"/>
    <w:rsid w:val="EF7F707B"/>
    <w:rsid w:val="EF8C5CAB"/>
    <w:rsid w:val="EF9A8242"/>
    <w:rsid w:val="EFB67B83"/>
    <w:rsid w:val="EFC78D26"/>
    <w:rsid w:val="EFDBD669"/>
    <w:rsid w:val="EFE76380"/>
    <w:rsid w:val="EFF5FBCB"/>
    <w:rsid w:val="EFF79153"/>
    <w:rsid w:val="EFF8510F"/>
    <w:rsid w:val="EFF95EDC"/>
    <w:rsid w:val="EFFA3856"/>
    <w:rsid w:val="EFFAEF3D"/>
    <w:rsid w:val="EFFC217D"/>
    <w:rsid w:val="EFFD0E5B"/>
    <w:rsid w:val="EFFE0B45"/>
    <w:rsid w:val="EFFF37D1"/>
    <w:rsid w:val="EFFF95E8"/>
    <w:rsid w:val="F0BB028D"/>
    <w:rsid w:val="F0EBE9BD"/>
    <w:rsid w:val="F17F823B"/>
    <w:rsid w:val="F1E7AF87"/>
    <w:rsid w:val="F1FFD8DE"/>
    <w:rsid w:val="F21AF4F0"/>
    <w:rsid w:val="F2CEF9A0"/>
    <w:rsid w:val="F2FB1DF9"/>
    <w:rsid w:val="F35F0541"/>
    <w:rsid w:val="F37F52EF"/>
    <w:rsid w:val="F3DE6EA5"/>
    <w:rsid w:val="F3DF289B"/>
    <w:rsid w:val="F3E24097"/>
    <w:rsid w:val="F3F16979"/>
    <w:rsid w:val="F3F33F12"/>
    <w:rsid w:val="F3FF43E9"/>
    <w:rsid w:val="F3FF7A9D"/>
    <w:rsid w:val="F3FFD004"/>
    <w:rsid w:val="F46F5F9B"/>
    <w:rsid w:val="F4EF4B25"/>
    <w:rsid w:val="F4FB1F83"/>
    <w:rsid w:val="F4FBBB9F"/>
    <w:rsid w:val="F4FFD9B4"/>
    <w:rsid w:val="F5752AA8"/>
    <w:rsid w:val="F5772C75"/>
    <w:rsid w:val="F5B75632"/>
    <w:rsid w:val="F5DF27B5"/>
    <w:rsid w:val="F5EFF85A"/>
    <w:rsid w:val="F5F1CED0"/>
    <w:rsid w:val="F637A653"/>
    <w:rsid w:val="F6493F1E"/>
    <w:rsid w:val="F67A2528"/>
    <w:rsid w:val="F67F71B6"/>
    <w:rsid w:val="F69E1290"/>
    <w:rsid w:val="F6D5A7F1"/>
    <w:rsid w:val="F6DC904E"/>
    <w:rsid w:val="F6E38578"/>
    <w:rsid w:val="F6EFCE40"/>
    <w:rsid w:val="F6F7E039"/>
    <w:rsid w:val="F6F88EBC"/>
    <w:rsid w:val="F6FD1D23"/>
    <w:rsid w:val="F6FD6706"/>
    <w:rsid w:val="F70A04C3"/>
    <w:rsid w:val="F715BBEC"/>
    <w:rsid w:val="F71B038C"/>
    <w:rsid w:val="F73BB8D1"/>
    <w:rsid w:val="F75E5F0A"/>
    <w:rsid w:val="F76E1C87"/>
    <w:rsid w:val="F76F1FF4"/>
    <w:rsid w:val="F7784F46"/>
    <w:rsid w:val="F77976E9"/>
    <w:rsid w:val="F77F348B"/>
    <w:rsid w:val="F77F3FC0"/>
    <w:rsid w:val="F77F8AFD"/>
    <w:rsid w:val="F77FEA05"/>
    <w:rsid w:val="F7836BE2"/>
    <w:rsid w:val="F7A7FB81"/>
    <w:rsid w:val="F7BBF9B4"/>
    <w:rsid w:val="F7BE594C"/>
    <w:rsid w:val="F7BF21CE"/>
    <w:rsid w:val="F7BFD652"/>
    <w:rsid w:val="F7BFE72F"/>
    <w:rsid w:val="F7BFF39D"/>
    <w:rsid w:val="F7ED32DE"/>
    <w:rsid w:val="F7EDC3CC"/>
    <w:rsid w:val="F7EF2F76"/>
    <w:rsid w:val="F7F207B4"/>
    <w:rsid w:val="F7F5CA02"/>
    <w:rsid w:val="F7F73FFB"/>
    <w:rsid w:val="F7F744FB"/>
    <w:rsid w:val="F7F7670E"/>
    <w:rsid w:val="F7F7C28D"/>
    <w:rsid w:val="F7F7CA8B"/>
    <w:rsid w:val="F7F942BD"/>
    <w:rsid w:val="F7FC3D4E"/>
    <w:rsid w:val="F7FD4FEB"/>
    <w:rsid w:val="F7FDC805"/>
    <w:rsid w:val="F7FDC9F8"/>
    <w:rsid w:val="F7FDE2F2"/>
    <w:rsid w:val="F7FE01EA"/>
    <w:rsid w:val="F7FE2880"/>
    <w:rsid w:val="F7FE89AD"/>
    <w:rsid w:val="F7FED768"/>
    <w:rsid w:val="F7FFF6DA"/>
    <w:rsid w:val="F8274E0A"/>
    <w:rsid w:val="F8F2C77F"/>
    <w:rsid w:val="F8FDD146"/>
    <w:rsid w:val="F91F15FC"/>
    <w:rsid w:val="F946F371"/>
    <w:rsid w:val="F96A962A"/>
    <w:rsid w:val="F97D8137"/>
    <w:rsid w:val="F9BFCAC2"/>
    <w:rsid w:val="F9DA9156"/>
    <w:rsid w:val="F9DB0FBA"/>
    <w:rsid w:val="F9EF2094"/>
    <w:rsid w:val="F9F5232B"/>
    <w:rsid w:val="F9FF4D82"/>
    <w:rsid w:val="F9FF7321"/>
    <w:rsid w:val="FA376731"/>
    <w:rsid w:val="FA6DA591"/>
    <w:rsid w:val="FA6F0A04"/>
    <w:rsid w:val="FA7D1A96"/>
    <w:rsid w:val="FA7D9C07"/>
    <w:rsid w:val="FA7FA9A1"/>
    <w:rsid w:val="FA97B004"/>
    <w:rsid w:val="FADA68C9"/>
    <w:rsid w:val="FAED3B03"/>
    <w:rsid w:val="FAED5417"/>
    <w:rsid w:val="FAF71D64"/>
    <w:rsid w:val="FAF744D4"/>
    <w:rsid w:val="FAFBAD1E"/>
    <w:rsid w:val="FB1BC787"/>
    <w:rsid w:val="FB1FD5D6"/>
    <w:rsid w:val="FB3346AC"/>
    <w:rsid w:val="FB4FBF59"/>
    <w:rsid w:val="FB5BF2B3"/>
    <w:rsid w:val="FB7B64F4"/>
    <w:rsid w:val="FB7E5028"/>
    <w:rsid w:val="FB7F674B"/>
    <w:rsid w:val="FB8F6D3C"/>
    <w:rsid w:val="FB9377C0"/>
    <w:rsid w:val="FB992D30"/>
    <w:rsid w:val="FBB1BA4A"/>
    <w:rsid w:val="FBB787A2"/>
    <w:rsid w:val="FBDA373A"/>
    <w:rsid w:val="FBDABD3F"/>
    <w:rsid w:val="FBDF091B"/>
    <w:rsid w:val="FBDF11AD"/>
    <w:rsid w:val="FBE9988F"/>
    <w:rsid w:val="FBEE5410"/>
    <w:rsid w:val="FBF43130"/>
    <w:rsid w:val="FBF7412D"/>
    <w:rsid w:val="FBFD8D9F"/>
    <w:rsid w:val="FBFDD918"/>
    <w:rsid w:val="FBFE756A"/>
    <w:rsid w:val="FBFF3F11"/>
    <w:rsid w:val="FBFF4AA8"/>
    <w:rsid w:val="FC3F21C8"/>
    <w:rsid w:val="FC3F8C38"/>
    <w:rsid w:val="FC7F76AF"/>
    <w:rsid w:val="FC9BFE60"/>
    <w:rsid w:val="FCBF1B78"/>
    <w:rsid w:val="FCFB41A1"/>
    <w:rsid w:val="FCFEA0E3"/>
    <w:rsid w:val="FD6ACC12"/>
    <w:rsid w:val="FD6B1CC0"/>
    <w:rsid w:val="FD6D2EE7"/>
    <w:rsid w:val="FD7F72E0"/>
    <w:rsid w:val="FD9B2F47"/>
    <w:rsid w:val="FDDBA671"/>
    <w:rsid w:val="FDDF0E45"/>
    <w:rsid w:val="FDDF8A74"/>
    <w:rsid w:val="FDDF9D5E"/>
    <w:rsid w:val="FDEF7E05"/>
    <w:rsid w:val="FDF3F324"/>
    <w:rsid w:val="FDF546EE"/>
    <w:rsid w:val="FDF54C91"/>
    <w:rsid w:val="FDF9B3C7"/>
    <w:rsid w:val="FDFA45BA"/>
    <w:rsid w:val="FDFB1BE9"/>
    <w:rsid w:val="FDFB6813"/>
    <w:rsid w:val="FDFBB4B4"/>
    <w:rsid w:val="FDFC2637"/>
    <w:rsid w:val="FDFD986E"/>
    <w:rsid w:val="FDFF4D06"/>
    <w:rsid w:val="FDFF734D"/>
    <w:rsid w:val="FDFF8D0B"/>
    <w:rsid w:val="FDFFB4D7"/>
    <w:rsid w:val="FDFFCD55"/>
    <w:rsid w:val="FDFFFEF4"/>
    <w:rsid w:val="FE378FD9"/>
    <w:rsid w:val="FE37ACB2"/>
    <w:rsid w:val="FE3FC958"/>
    <w:rsid w:val="FE4B7050"/>
    <w:rsid w:val="FE4F36AD"/>
    <w:rsid w:val="FE6752B4"/>
    <w:rsid w:val="FE6BC697"/>
    <w:rsid w:val="FE6FE548"/>
    <w:rsid w:val="FE7E62CE"/>
    <w:rsid w:val="FE7F26BB"/>
    <w:rsid w:val="FE9F3D84"/>
    <w:rsid w:val="FEBB3451"/>
    <w:rsid w:val="FEBB7C87"/>
    <w:rsid w:val="FEBD6F72"/>
    <w:rsid w:val="FEBF9993"/>
    <w:rsid w:val="FEC5B506"/>
    <w:rsid w:val="FECCF431"/>
    <w:rsid w:val="FECFFFA5"/>
    <w:rsid w:val="FEDB134F"/>
    <w:rsid w:val="FEDB2491"/>
    <w:rsid w:val="FEDE265E"/>
    <w:rsid w:val="FEDFDBCE"/>
    <w:rsid w:val="FEDFEB53"/>
    <w:rsid w:val="FEE6D1B9"/>
    <w:rsid w:val="FEEDF4B6"/>
    <w:rsid w:val="FEEF382A"/>
    <w:rsid w:val="FEF3BD3C"/>
    <w:rsid w:val="FEF67F90"/>
    <w:rsid w:val="FEF76134"/>
    <w:rsid w:val="FEF847DD"/>
    <w:rsid w:val="FEFB4FE7"/>
    <w:rsid w:val="FEFC3621"/>
    <w:rsid w:val="FEFCF3D7"/>
    <w:rsid w:val="FEFDF508"/>
    <w:rsid w:val="FEFE8ACE"/>
    <w:rsid w:val="FEFE991E"/>
    <w:rsid w:val="FEFEDECE"/>
    <w:rsid w:val="FEFF3B07"/>
    <w:rsid w:val="FEFFBEEA"/>
    <w:rsid w:val="FEFFD724"/>
    <w:rsid w:val="FF2BAE79"/>
    <w:rsid w:val="FF2EA407"/>
    <w:rsid w:val="FF3D1CE8"/>
    <w:rsid w:val="FF3F0009"/>
    <w:rsid w:val="FF3F8AF8"/>
    <w:rsid w:val="FF3FADB7"/>
    <w:rsid w:val="FF40EBA9"/>
    <w:rsid w:val="FF5C14ED"/>
    <w:rsid w:val="FF5ED8EC"/>
    <w:rsid w:val="FF5FD196"/>
    <w:rsid w:val="FF5FDA05"/>
    <w:rsid w:val="FF6A4F7C"/>
    <w:rsid w:val="FF6E1745"/>
    <w:rsid w:val="FF6F1BDA"/>
    <w:rsid w:val="FF73465A"/>
    <w:rsid w:val="FF751F68"/>
    <w:rsid w:val="FF7B249A"/>
    <w:rsid w:val="FF7C8ECB"/>
    <w:rsid w:val="FF7D7393"/>
    <w:rsid w:val="FF7E6944"/>
    <w:rsid w:val="FF7F28BA"/>
    <w:rsid w:val="FF7FD861"/>
    <w:rsid w:val="FF8B44B5"/>
    <w:rsid w:val="FF8F3A2B"/>
    <w:rsid w:val="FF96204E"/>
    <w:rsid w:val="FF9F4429"/>
    <w:rsid w:val="FF9F81BE"/>
    <w:rsid w:val="FFA19C2F"/>
    <w:rsid w:val="FFA61DED"/>
    <w:rsid w:val="FFA91F7F"/>
    <w:rsid w:val="FFAB37C7"/>
    <w:rsid w:val="FFAE6722"/>
    <w:rsid w:val="FFAEDC1C"/>
    <w:rsid w:val="FFAF49B4"/>
    <w:rsid w:val="FFB32D73"/>
    <w:rsid w:val="FFB70A43"/>
    <w:rsid w:val="FFBD9E70"/>
    <w:rsid w:val="FFBE93ED"/>
    <w:rsid w:val="FFBEB94E"/>
    <w:rsid w:val="FFBF9381"/>
    <w:rsid w:val="FFBFA01D"/>
    <w:rsid w:val="FFBFDF71"/>
    <w:rsid w:val="FFBFF5FD"/>
    <w:rsid w:val="FFC67A20"/>
    <w:rsid w:val="FFC7F362"/>
    <w:rsid w:val="FFCF8CFB"/>
    <w:rsid w:val="FFD3A99D"/>
    <w:rsid w:val="FFD93D3E"/>
    <w:rsid w:val="FFDD2124"/>
    <w:rsid w:val="FFDDD73D"/>
    <w:rsid w:val="FFDFBC9C"/>
    <w:rsid w:val="FFE7148F"/>
    <w:rsid w:val="FFEB712B"/>
    <w:rsid w:val="FFEBA565"/>
    <w:rsid w:val="FFED0C89"/>
    <w:rsid w:val="FFEE3BA3"/>
    <w:rsid w:val="FFEF724A"/>
    <w:rsid w:val="FFEF8AE2"/>
    <w:rsid w:val="FFEFEB35"/>
    <w:rsid w:val="FFF1A0F2"/>
    <w:rsid w:val="FFF2DDE0"/>
    <w:rsid w:val="FFF3F2CF"/>
    <w:rsid w:val="FFF51518"/>
    <w:rsid w:val="FFF600CE"/>
    <w:rsid w:val="FFF65926"/>
    <w:rsid w:val="FFF706B3"/>
    <w:rsid w:val="FFF738AB"/>
    <w:rsid w:val="FFF766DC"/>
    <w:rsid w:val="FFF7C731"/>
    <w:rsid w:val="FFF92BDD"/>
    <w:rsid w:val="FFF98B6A"/>
    <w:rsid w:val="FFFAABCF"/>
    <w:rsid w:val="FFFAD734"/>
    <w:rsid w:val="FFFB5B43"/>
    <w:rsid w:val="FFFB5DE7"/>
    <w:rsid w:val="FFFB9F5A"/>
    <w:rsid w:val="FFFD13EF"/>
    <w:rsid w:val="FFFD698A"/>
    <w:rsid w:val="FFFDEDDE"/>
    <w:rsid w:val="FFFE3F45"/>
    <w:rsid w:val="FFFF039F"/>
    <w:rsid w:val="FFFF4CD7"/>
    <w:rsid w:val="FFFF5844"/>
    <w:rsid w:val="FFFF711C"/>
    <w:rsid w:val="FFFF7519"/>
    <w:rsid w:val="FFFF7B01"/>
    <w:rsid w:val="FFFF82F8"/>
    <w:rsid w:val="FFFF8F7A"/>
    <w:rsid w:val="FFFFB56B"/>
    <w:rsid w:val="FFFFCF7B"/>
    <w:rsid w:val="FFFFD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仿宋_GB2312" w:hAnsi="&amp;Euml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hAnsi="仿宋_GB2312"/>
      <w:b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wordWrap w:val="0"/>
      <w:ind w:left="3400"/>
      <w:jc w:val="both"/>
    </w:pPr>
    <w:rPr>
      <w:sz w:val="21"/>
      <w:lang w:val="en-US" w:eastAsia="zh-CN" w:bidi="ar-SA"/>
    </w:rPr>
  </w:style>
  <w:style w:type="paragraph" w:styleId="5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7">
    <w:name w:val="annotation text"/>
    <w:basedOn w:val="1"/>
    <w:link w:val="27"/>
    <w:qFormat/>
    <w:uiPriority w:val="0"/>
    <w:pPr>
      <w:jc w:val="left"/>
    </w:pPr>
  </w:style>
  <w:style w:type="paragraph" w:styleId="8">
    <w:name w:val="Body Text"/>
    <w:basedOn w:val="1"/>
    <w:qFormat/>
    <w:uiPriority w:val="99"/>
    <w:rPr>
      <w:rFonts w:ascii="仿宋_GB2312" w:eastAsia="仿宋_GB2312"/>
      <w:sz w:val="32"/>
    </w:rPr>
  </w:style>
  <w:style w:type="paragraph" w:styleId="9">
    <w:name w:val="toc 3"/>
    <w:basedOn w:val="1"/>
    <w:next w:val="1"/>
    <w:semiHidden/>
    <w:unhideWhenUsed/>
    <w:qFormat/>
    <w:uiPriority w:val="0"/>
    <w:pPr>
      <w:ind w:left="840" w:leftChars="400"/>
    </w:pPr>
  </w:style>
  <w:style w:type="paragraph" w:styleId="10">
    <w:name w:val="Body Text Indent 2"/>
    <w:basedOn w:val="1"/>
    <w:qFormat/>
    <w:uiPriority w:val="0"/>
    <w:pPr>
      <w:spacing w:after="120" w:line="480" w:lineRule="auto"/>
      <w:ind w:left="420" w:leftChars="200" w:firstLine="0" w:firstLineChars="0"/>
    </w:pPr>
    <w:rPr>
      <w:rFonts w:ascii="Times New Roman" w:hAnsi="Times New Roman" w:eastAsia="宋体"/>
      <w:sz w:val="21"/>
      <w:szCs w:val="24"/>
    </w:rPr>
  </w:style>
  <w:style w:type="paragraph" w:styleId="11">
    <w:name w:val="Balloon Text"/>
    <w:basedOn w:val="1"/>
    <w:link w:val="29"/>
    <w:qFormat/>
    <w:uiPriority w:val="0"/>
    <w:rPr>
      <w:sz w:val="18"/>
      <w:szCs w:val="18"/>
    </w:rPr>
  </w:style>
  <w:style w:type="paragraph" w:styleId="12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paragraph" w:styleId="14">
    <w:name w:val="toc 1"/>
    <w:basedOn w:val="1"/>
    <w:next w:val="1"/>
    <w:qFormat/>
    <w:uiPriority w:val="39"/>
  </w:style>
  <w:style w:type="paragraph" w:styleId="15">
    <w:name w:val="toc 2"/>
    <w:basedOn w:val="1"/>
    <w:next w:val="1"/>
    <w:qFormat/>
    <w:uiPriority w:val="39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Title"/>
    <w:basedOn w:val="1"/>
    <w:next w:val="5"/>
    <w:qFormat/>
    <w:uiPriority w:val="10"/>
    <w:pPr>
      <w:spacing w:line="0" w:lineRule="atLeast"/>
      <w:jc w:val="center"/>
    </w:pPr>
    <w:rPr>
      <w:rFonts w:ascii="Arial" w:hAnsi="Arial" w:eastAsia="黑体" w:cs="Times New Roman"/>
      <w:kern w:val="0"/>
      <w:sz w:val="52"/>
      <w:szCs w:val="32"/>
    </w:rPr>
  </w:style>
  <w:style w:type="paragraph" w:styleId="18">
    <w:name w:val="annotation subject"/>
    <w:basedOn w:val="7"/>
    <w:next w:val="7"/>
    <w:link w:val="28"/>
    <w:qFormat/>
    <w:uiPriority w:val="0"/>
    <w:rPr>
      <w:b/>
      <w:bCs/>
    </w:rPr>
  </w:style>
  <w:style w:type="paragraph" w:styleId="19">
    <w:name w:val="Body Text First Indent 2"/>
    <w:basedOn w:val="5"/>
    <w:qFormat/>
    <w:uiPriority w:val="0"/>
    <w:pPr>
      <w:widowControl w:val="0"/>
      <w:ind w:firstLine="420"/>
    </w:pPr>
    <w:rPr>
      <w:rFonts w:ascii="Times New Roman" w:hAnsi="Times New Roman"/>
      <w:kern w:val="2"/>
      <w:sz w:val="21"/>
      <w:szCs w:val="22"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0"/>
    <w:rPr>
      <w:b/>
    </w:rPr>
  </w:style>
  <w:style w:type="character" w:styleId="24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5">
    <w:name w:val="annotation reference"/>
    <w:basedOn w:val="22"/>
    <w:qFormat/>
    <w:uiPriority w:val="0"/>
    <w:rPr>
      <w:sz w:val="21"/>
      <w:szCs w:val="21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ind w:firstLine="0" w:firstLineChars="0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character" w:customStyle="1" w:styleId="27">
    <w:name w:val="批注文字 Char"/>
    <w:basedOn w:val="22"/>
    <w:link w:val="7"/>
    <w:qFormat/>
    <w:uiPriority w:val="0"/>
    <w:rPr>
      <w:rFonts w:ascii="仿宋_GB2312" w:hAnsi="&amp;Euml" w:eastAsia="仿宋_GB2312" w:cstheme="minorBidi"/>
      <w:sz w:val="32"/>
      <w:szCs w:val="32"/>
    </w:rPr>
  </w:style>
  <w:style w:type="character" w:customStyle="1" w:styleId="28">
    <w:name w:val="批注主题 Char"/>
    <w:basedOn w:val="27"/>
    <w:link w:val="18"/>
    <w:qFormat/>
    <w:uiPriority w:val="0"/>
    <w:rPr>
      <w:rFonts w:ascii="仿宋_GB2312" w:hAnsi="&amp;Euml" w:eastAsia="仿宋_GB2312" w:cstheme="minorBidi"/>
      <w:b/>
      <w:bCs/>
      <w:sz w:val="32"/>
      <w:szCs w:val="32"/>
    </w:rPr>
  </w:style>
  <w:style w:type="character" w:customStyle="1" w:styleId="29">
    <w:name w:val="批注框文本 Char"/>
    <w:basedOn w:val="22"/>
    <w:link w:val="11"/>
    <w:qFormat/>
    <w:uiPriority w:val="0"/>
    <w:rPr>
      <w:rFonts w:ascii="仿宋_GB2312" w:hAnsi="&amp;Euml" w:eastAsia="仿宋_GB2312" w:cstheme="minorBidi"/>
      <w:sz w:val="18"/>
      <w:szCs w:val="18"/>
    </w:rPr>
  </w:style>
  <w:style w:type="paragraph" w:customStyle="1" w:styleId="30">
    <w:name w:val="列出段落1"/>
    <w:basedOn w:val="1"/>
    <w:qFormat/>
    <w:uiPriority w:val="99"/>
    <w:pPr>
      <w:ind w:firstLine="420"/>
    </w:pPr>
  </w:style>
  <w:style w:type="character" w:customStyle="1" w:styleId="31">
    <w:name w:val="页脚 Char"/>
    <w:basedOn w:val="22"/>
    <w:link w:val="12"/>
    <w:qFormat/>
    <w:uiPriority w:val="99"/>
    <w:rPr>
      <w:rFonts w:ascii="Times New Roman" w:hAnsi="Times New Roman" w:cstheme="minorBidi"/>
      <w:kern w:val="2"/>
      <w:sz w:val="18"/>
      <w:szCs w:val="18"/>
    </w:rPr>
  </w:style>
  <w:style w:type="paragraph" w:styleId="32">
    <w:name w:val="List Paragraph"/>
    <w:basedOn w:val="1"/>
    <w:qFormat/>
    <w:uiPriority w:val="99"/>
    <w:pPr>
      <w:ind w:firstLine="420"/>
    </w:pPr>
  </w:style>
  <w:style w:type="paragraph" w:customStyle="1" w:styleId="33">
    <w:name w:val="Char"/>
    <w:basedOn w:val="1"/>
    <w:qFormat/>
    <w:uiPriority w:val="0"/>
    <w:pPr>
      <w:widowControl/>
      <w:spacing w:after="160" w:line="240" w:lineRule="exact"/>
      <w:ind w:firstLine="0" w:firstLineChars="0"/>
      <w:jc w:val="left"/>
    </w:pPr>
    <w:rPr>
      <w:rFonts w:ascii="Verdana" w:hAnsi="Verdana" w:cs="Times New Roman"/>
      <w:kern w:val="0"/>
      <w:sz w:val="24"/>
      <w:szCs w:val="20"/>
      <w:lang w:eastAsia="en-US"/>
    </w:rPr>
  </w:style>
  <w:style w:type="character" w:customStyle="1" w:styleId="34">
    <w:name w:val="10"/>
    <w:basedOn w:val="22"/>
    <w:qFormat/>
    <w:uiPriority w:val="0"/>
    <w:rPr>
      <w:rFonts w:hint="default" w:ascii="Times New Roman" w:hAnsi="Times New Roman" w:cs="Times New Roman"/>
    </w:rPr>
  </w:style>
  <w:style w:type="character" w:customStyle="1" w:styleId="35">
    <w:name w:val="15"/>
    <w:basedOn w:val="22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7480</Words>
  <Characters>7941</Characters>
  <Lines>1</Lines>
  <Paragraphs>1</Paragraphs>
  <TotalTime>3</TotalTime>
  <ScaleCrop>false</ScaleCrop>
  <LinksUpToDate>false</LinksUpToDate>
  <CharactersWithSpaces>8144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2020-04-06T09:25:00Z</dcterms:created>
  <dc:creator>蜡笔小新</dc:creator>
  <cp:lastModifiedBy>mczd</cp:lastModifiedBy>
  <cp:lastPrinted>2016-09-19T02:23:00Z</cp:lastPrinted>
  <dcterms:modified xsi:type="dcterms:W3CDTF">2025-08-28T09:22:42Z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BAE195AB433ED25F5A7BAE68B7A46944_43</vt:lpwstr>
  </property>
</Properties>
</file>